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C6" w:rsidRPr="00F868C6" w:rsidRDefault="00F868C6" w:rsidP="00F868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:rsidR="00F868C6" w:rsidRPr="00F868C6" w:rsidRDefault="00F868C6" w:rsidP="00F86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68C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F868C6" w:rsidRPr="00F868C6" w:rsidRDefault="00F868C6" w:rsidP="00F86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history="1">
        <w:r w:rsidRPr="00F868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KLIKNITE OVDJE ZA PRIKAZ U WEB PREGLEDNIKU</w:t>
        </w:r>
      </w:hyperlink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348"/>
        <w:gridCol w:w="7399"/>
        <w:gridCol w:w="303"/>
        <w:gridCol w:w="555"/>
      </w:tblGrid>
      <w:tr w:rsidR="00F868C6" w:rsidRPr="00F868C6" w:rsidTr="00F868C6">
        <w:trPr>
          <w:tblCellSpacing w:w="15" w:type="dxa"/>
        </w:trPr>
        <w:tc>
          <w:tcPr>
            <w:tcW w:w="8940" w:type="dxa"/>
            <w:gridSpan w:val="5"/>
            <w:hideMark/>
          </w:tcPr>
          <w:p w:rsidR="00F868C6" w:rsidRDefault="00F868C6">
            <w:r w:rsidRPr="008948CD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5pt;height:129.75pt">
                  <v:imagedata r:id="rId5" o:title="eufondovi_10godina_s_vama"/>
                </v:shape>
              </w:pict>
            </w:r>
          </w:p>
        </w:tc>
      </w:tr>
      <w:tr w:rsidR="00F868C6" w:rsidRPr="00F868C6" w:rsidTr="00F868C6">
        <w:trPr>
          <w:trHeight w:val="1200"/>
          <w:tblCellSpacing w:w="15" w:type="dxa"/>
        </w:trPr>
        <w:tc>
          <w:tcPr>
            <w:tcW w:w="582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717" w:type="dxa"/>
            <w:gridSpan w:val="3"/>
            <w:vAlign w:val="center"/>
            <w:hideMark/>
          </w:tcPr>
          <w:p w:rsidR="00F868C6" w:rsidRPr="00F868C6" w:rsidRDefault="00F868C6" w:rsidP="00F868C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r-HR"/>
              </w:rPr>
            </w:pPr>
            <w:r w:rsidRPr="00F868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r-HR"/>
              </w:rPr>
              <w:br/>
              <w:t>Potpora po projektu do 50 milijuna kuna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r-HR"/>
              </w:rPr>
              <w:br/>
              <w:t> </w:t>
            </w:r>
          </w:p>
          <w:p w:rsidR="00F868C6" w:rsidRPr="00F868C6" w:rsidRDefault="00F868C6" w:rsidP="00F868C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Predaja projektnih prijava započinje 7. studenoga 2022. godine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581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868C6" w:rsidRPr="00F868C6" w:rsidTr="00F868C6">
        <w:trPr>
          <w:trHeight w:val="300"/>
          <w:tblCellSpacing w:w="15" w:type="dxa"/>
        </w:trPr>
        <w:tc>
          <w:tcPr>
            <w:tcW w:w="582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3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73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1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868C6" w:rsidRPr="00F868C6" w:rsidTr="00F868C6">
        <w:trPr>
          <w:tblCellSpacing w:w="15" w:type="dxa"/>
        </w:trPr>
        <w:tc>
          <w:tcPr>
            <w:tcW w:w="582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3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7073" w:type="dxa"/>
            <w:vAlign w:val="center"/>
            <w:hideMark/>
          </w:tcPr>
          <w:p w:rsidR="00F868C6" w:rsidRPr="00F868C6" w:rsidRDefault="00F868C6" w:rsidP="00F868C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r-HR"/>
              </w:rPr>
            </w:pPr>
            <w:r w:rsidRPr="00F868C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r-HR"/>
              </w:rPr>
              <w:t>Dana 5. listopada 2022. godine objavljen je dugoočekivani „Poziv na dodjelu bespovratnih sredstava – Jačanje održivosti te poticanje zelene i digitalne tranzicije poduzetnika u sektoru turizma“. Ukupan raspoloživ iznos bespovratnih sredstava za dodjelu u okviru ovog Poziva je 1.250.000.000,00 kuna u sklopu Nacionalnog plana oporavka i otpornosti 2021. – 2026.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eastAsia="hr-HR"/>
              </w:rPr>
              <w:t>Poziv podijeljen u tri grupe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hr-HR"/>
              </w:rPr>
              <w:t xml:space="preserve"> </w:t>
            </w:r>
          </w:p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Grupa 1.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Razvoj turističkih proizvoda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prihvatljivih za okoliš, učinkovitost resursa te zelenu i digitalnu tranziciju –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1.020.000.000,00 HRK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Grupa 2. Zelena i digitalna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tranzicija malih iznajmljivača 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 njihova transformacija u poduzetnike u turizmu i ugostiteljstvu –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50.000.000,00 HRK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Grupa 3. Poticanje razvoja proizvoda i usluga te poslovnih modela u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ekosustavima u lancu vrijednosti turizma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koje doprinose zelenoj i digitalnoj tranziciji i rješavanju ključnih izazova u sektoru turizma –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180.000.000,00 HRK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 nastavku ćemo se detaljnije posvetiti uvjetima i prihvatljivim troškovima za grupu 1., dok za više informacija o Grupi 2. i Grupi 3. svakako posjetite našu web stranicu – </w:t>
            </w:r>
            <w:hyperlink r:id="rId6" w:history="1">
              <w:r w:rsidRPr="00F86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LINK</w:t>
              </w:r>
            </w:hyperlink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   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Prihvatljivi Prijavitelji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ovog Poziva je poticanje ulaganja u ugostiteljske objekte za: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   a)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smještaj više dodane vrijednosti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i/ili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   b)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dodatni sadržaj ugostiteljskih objekata za smještaj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i/ili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   c)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turističko ugostiteljske objekte zabavnih i tematskih parkova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gdje sve tri kategorije ulaganja uvode: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  - procese prihvatljive za okoliš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  - kružno gospodarstvo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  - digitalne tehnologije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  - unaprjeđuju higijensko-zdravstvene i sigurnosne uvjete.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Prihvatljivi prijavitelji su mikro, mala, srednja i velika poduzeća, a koja obuhvaćaju djelatnosti iz skupina navedenih u Nacionalnoj klasifikaciji djelatnosti – NKD 2007 te se odnose na klasifikacijske oznake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55.1 Hoteli i sličan smještaj, 55.3 Kampovi i prostori za kampiranje i 93.21 Djelatnosti zabavnih i tematskih parkova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  <w:p w:rsidR="00F868C6" w:rsidRPr="00F868C6" w:rsidRDefault="00F868C6" w:rsidP="00F86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Iznos, vrste i intenzitet potpore  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Najniža vrijednost bespovratne potpore koja se može dodijeliti pojedinom projektu iznosi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 milijuna HRK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Najviša vrijednost potpore koja se može dodijeliti pojedinom projektu iznosi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 milijuna HRK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Intenzitet potpore je sljedeći: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a.) regionalne potpore: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b.) potpore za ulaganje u promicanje energije iz obnovljivih izvora energije: 30% - 50% potpore, ovisno o veličini prijavitelja (navedeni intenziteti mogu se povećati za 5-15%, ovisno o lokaciji ulaganja)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c.) potpore za ulaganje za mjere energetske učinkovitosti: 30% - 50%, ovisno o veličini prijavitelja (navedeni intenziteti mogu se povećati za 5%-15%, ovisno o lokaciji ulaganja)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d.) potpore za ulaganje kojima se poduzetnicima omogućuje da premaše norme EU za zaštitu okoliša ili povećaju razinu zaštite okoliša: 40% - 60%, ovisno o veličini prijavitelja (navedeni intenziteti mogu se povećati za 5% - 15%, ovisno o lokaciji ulaganja)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e.) potpore za usavršavanje: 50% - 70%, ovisno o veličini prijavitelja i/ili ukoliko se usavršavanje provodi za radnike s invaliditetom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f.) de minimis potpore: 85% prihvatljivih troškova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Prihvatljivi troškovi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a.) Regionalne potpore - troškovi ulaganja u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materijalnu imovinu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(npr. priprema zemljišta, gradnja, rekonstrukcija, nabava opreme, strojeva, alata i mjernih uređaja);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troškovi informacijsko-komunikacijskih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audio/video rješenja; troškovi ulaganja u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nematerijalnu imovinu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(patenti, autorska prava, znanja i iskustva, druge vrste intelektualnog vlasništva)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b.) Potpore za ulaganje u promicanje energije iz obnovljivih izvora energije – troškovi ulaganja u materijalnu imovinu potrebnu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za proizvodnju električne, toplinske i rashladne energije iz obnovljivih izvora 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(npr. građevinski radovi, nabava opreme i sustava za proizvodnju energije, ugradnja, mjerenje, ispitivanje, podešavanje i puštanje u pogon)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c.) Potpore za ulaganje za mjere energetske učinkovitosti – dodatni troškovi ulaganja neophodni za postizanje više razine energetske učinkovitosti kao što su: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obnova ovojnice zgrade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ugradnja novih ili zamjena postojećih tehničkih sustava zgrade koji uključuju tehničku opremu za grijanje, hlađenje, ventilaciju,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klimatizaciju i pripremu potrošne tople vode, zamjena unutarnje rasvjete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zajedničkih prostora učinkovitijom,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uvođenje sustava automatizacije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upravljanja zgradom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d.) Potpore za ulaganje kojima se poduzetnicima omogućuje da premaše norme Unije za zaštitu okoliša – troškovi za ulaganja u infrastrukturu za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punjenje i/ili opskrbu gorivom s nultom ili niskim emisijama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ugljika za vlastite potrebe korisnika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e.) Potpore za usavršavanje – troškovi predavača, troškovi poslovanja povezani s predavačima i polaznicima koji su izravno povezani s projektom usavršavanja, troškovi savjetodavnih usluga povezanih s projektom usavršavanja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g.) De minimis potpore – troškovi ulaganja u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vozila i plovila s nultom ili niskim emisijama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ugljika za potrebe obavljanja djelatnosti, troškovi komunalnog doprinosa, troškovi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pripreme neophodne projektno-tehničke dokumentacije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troškovi izrade studije utjecaja na okoliš, trošak usluge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pripreme natječajne dokumentacije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upravljanje projektom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 strane vanjskih pružatelja usluge, usluge izrade dokumentacije za nabavu od strane vanjskih pružatelja usluge, trošak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revizije projekta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troškovi stručnog nadzora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Razdoblje provedbe projekta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Provedba projekta ne smije započeti prije predaje projektnog prijedloga u okviru Poziva ni završiti prije potpisivanja Ugovora, a mora se dovršiti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najkasnije do 30. lipnja 2025. godine.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Priprema natječajne dokumentacije (dokumentacije potrebne za podnošenje projektnog prijedloga) te priprema projektno tehničke dokumentacije ne smatra se početkom provedbe projekta.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Rok za prijavu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Poziv će se voditi kao otvoreni postupak u modalitetu privremenog Poziva na dostavu projektnih prijedloga. Početak podnošenja projektnih prijedloga započinje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 studenoga 2022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godine i traje do </w:t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 veljače 2023. godine.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 obzirom na spomenuti modalitet Poziva (onaj privremeni), najvažnija će biti kvaliteta projekta i broj dosegnutih bodova tijekom ocjenjivanja projekta, a ne trenutak predaje projekta. Drugim riječima, nema tzv. „najbržeg prsta“ pa se projekti bez straha mogu predati i zadnji dan Poziva, nakon čega se otvaraju sve prijave i provodi ocjenjivanje (radi rang-lista).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Više o ovom natječaju možete pronaći </w:t>
            </w:r>
            <w:hyperlink r:id="rId7" w:history="1">
              <w:r w:rsidRPr="00F86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ovdje</w:t>
              </w:r>
            </w:hyperlink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F868C6" w:rsidRPr="00F868C6" w:rsidRDefault="00F868C6" w:rsidP="00F86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Više informacija o ostalim natječajima možete pronaći </w:t>
            </w:r>
            <w:hyperlink r:id="rId8" w:history="1">
              <w:r w:rsidRPr="00F86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ovdje</w:t>
              </w:r>
            </w:hyperlink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nas možete kontaktirati na brojeve telefona 01 5806 307 i 01 5806 308. </w:t>
            </w:r>
          </w:p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 dodatne informacije te kvalitetnu i pravovremenu pripremu projekata, stojimo vam na raspolaganju.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  </w:t>
            </w:r>
          </w:p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Vaš tim EUfondovi.hr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" w:history="1">
              <w:r w:rsidRPr="00F86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www.ravecon.hr</w:t>
              </w:r>
            </w:hyperlink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hyperlink r:id="rId10" w:history="1">
              <w:r w:rsidRPr="00F868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www.eufondovi.hr</w:t>
              </w:r>
            </w:hyperlink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                     </w:t>
            </w:r>
            <w:r w:rsidRPr="00F868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</w:tc>
        <w:tc>
          <w:tcPr>
            <w:tcW w:w="291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868C6" w:rsidRPr="00F868C6" w:rsidTr="00F868C6">
        <w:trPr>
          <w:trHeight w:val="300"/>
          <w:tblCellSpacing w:w="15" w:type="dxa"/>
        </w:trPr>
        <w:tc>
          <w:tcPr>
            <w:tcW w:w="582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3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73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1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868C6" w:rsidRPr="00F868C6" w:rsidTr="00F868C6">
        <w:trPr>
          <w:tblCellSpacing w:w="15" w:type="dxa"/>
        </w:trPr>
        <w:tc>
          <w:tcPr>
            <w:tcW w:w="8940" w:type="dxa"/>
            <w:gridSpan w:val="5"/>
            <w:vAlign w:val="center"/>
            <w:hideMark/>
          </w:tcPr>
          <w:p w:rsidR="00F868C6" w:rsidRPr="00F868C6" w:rsidRDefault="00F868C6" w:rsidP="00F8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 w:rsidP="00F868C6">
      <w:pPr>
        <w:spacing w:after="0" w:line="240" w:lineRule="auto"/>
      </w:pPr>
    </w:p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8C6"/>
    <w:rsid w:val="004B164F"/>
    <w:rsid w:val="0056023F"/>
    <w:rsid w:val="00966C41"/>
    <w:rsid w:val="00E90A5A"/>
    <w:rsid w:val="00F8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paragraph" w:styleId="Heading1">
    <w:name w:val="heading 1"/>
    <w:basedOn w:val="Normal"/>
    <w:link w:val="Heading1Char"/>
    <w:uiPriority w:val="9"/>
    <w:qFormat/>
    <w:rsid w:val="00F86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F868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F868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8C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F868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F868C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F868C6"/>
    <w:rPr>
      <w:color w:val="0000FF"/>
      <w:u w:val="single"/>
    </w:rPr>
  </w:style>
  <w:style w:type="character" w:customStyle="1" w:styleId="acymailingonline">
    <w:name w:val="acymailing_online"/>
    <w:basedOn w:val="DefaultParagraphFont"/>
    <w:rsid w:val="00F868C6"/>
  </w:style>
  <w:style w:type="character" w:styleId="Strong">
    <w:name w:val="Strong"/>
    <w:basedOn w:val="DefaultParagraphFont"/>
    <w:uiPriority w:val="22"/>
    <w:qFormat/>
    <w:rsid w:val="00F868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F868C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fondovi.hr/natjecaji/najava-otvoreno-zatvoreno?acm=36322_2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fondovi.hr/natjecaji/najava-otvoreno-zatvoreno/jacanje-odrzivosti-te-poticanje-zelene-i-digitalne-tranzicije-poduzetnika-u-sektoru-turizma?acm=36322_2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fondovi.hr/natjecaji/najava-otvoreno-zatvoreno/jacanje-odrzivosti-te-poticanje-zelene-i-digitalne-tranzicije-poduzetnika-u-sektoru-turizma?idU=1&amp;acm=36322_27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ufondovi.hr/?acm=36322_278" TargetMode="External"/><Relationship Id="rId4" Type="http://schemas.openxmlformats.org/officeDocument/2006/relationships/hyperlink" Target="https://eufondovi.hr/index.php?option=com_acymailing&amp;ctrl=archive&amp;task=view&amp;mailid=278&amp;key=bJKtDvIu&amp;subid=36322-FutIJglpfITEB2&amp;tmpl=component&amp;acm=36322_278" TargetMode="External"/><Relationship Id="rId9" Type="http://schemas.openxmlformats.org/officeDocument/2006/relationships/hyperlink" Target="https://eufondovi.hr/index.php?option=com_acymailing&amp;ctrl=url&amp;subid=36322&amp;urlid=1&amp;mailid=27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1124</Words>
  <Characters>6410</Characters>
  <Application>Microsoft Office Word</Application>
  <DocSecurity>0</DocSecurity>
  <Lines>53</Lines>
  <Paragraphs>15</Paragraphs>
  <ScaleCrop>false</ScaleCrop>
  <Company>Grizli777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2022-10-12T05:34:00Z</dcterms:created>
  <dcterms:modified xsi:type="dcterms:W3CDTF">2022-10-12T05:39:00Z</dcterms:modified>
</cp:coreProperties>
</file>