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50" w:type="pct"/>
        <w:tblCellSpacing w:w="0" w:type="dxa"/>
        <w:tblInd w:w="-45" w:type="dxa"/>
        <w:tblCellMar>
          <w:left w:w="0" w:type="dxa"/>
          <w:right w:w="0" w:type="dxa"/>
        </w:tblCellMar>
        <w:tblLook w:val="04A0"/>
      </w:tblPr>
      <w:tblGrid>
        <w:gridCol w:w="9163"/>
      </w:tblGrid>
      <w:tr w:rsidR="001C0F79" w:rsidRPr="001C0F79" w:rsidTr="001C0F79">
        <w:trPr>
          <w:tblCellSpacing w:w="0" w:type="dxa"/>
        </w:trPr>
        <w:tc>
          <w:tcPr>
            <w:tcW w:w="0" w:type="auto"/>
            <w:vAlign w:val="center"/>
            <w:hideMark/>
          </w:tcPr>
          <w:p w:rsidR="001C0F79" w:rsidRPr="001C0F79" w:rsidRDefault="001C0F79" w:rsidP="001C0F79">
            <w:pPr>
              <w:spacing w:after="0" w:line="240" w:lineRule="auto"/>
              <w:rPr>
                <w:rFonts w:ascii="Times New Roman" w:eastAsia="Times New Roman" w:hAnsi="Times New Roman" w:cs="Times New Roman"/>
                <w:sz w:val="24"/>
                <w:szCs w:val="24"/>
                <w:lang w:eastAsia="hr-HR"/>
              </w:rPr>
            </w:pPr>
          </w:p>
        </w:tc>
      </w:tr>
      <w:tr w:rsidR="001C0F79" w:rsidRPr="001C0F79" w:rsidTr="001C0F79">
        <w:tblPrEx>
          <w:tblCellSpacing w:w="15" w:type="dxa"/>
          <w:tblCellMar>
            <w:top w:w="15" w:type="dxa"/>
            <w:left w:w="15" w:type="dxa"/>
            <w:bottom w:w="15" w:type="dxa"/>
            <w:right w:w="15" w:type="dxa"/>
          </w:tblCellMar>
        </w:tblPrEx>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073"/>
            </w:tblGrid>
            <w:tr w:rsidR="001C0F79" w:rsidRPr="001C0F7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1C0F79" w:rsidRPr="001C0F79">
                    <w:trPr>
                      <w:tblCellSpacing w:w="15" w:type="dxa"/>
                    </w:trPr>
                    <w:tc>
                      <w:tcPr>
                        <w:tcW w:w="0" w:type="auto"/>
                        <w:vAlign w:val="center"/>
                        <w:hideMark/>
                      </w:tcPr>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6266"/>
                  </w:tblGrid>
                  <w:tr w:rsidR="001C0F79" w:rsidRPr="001C0F79">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6176"/>
                        </w:tblGrid>
                        <w:tr w:rsidR="001C0F79" w:rsidRPr="001C0F79">
                          <w:trPr>
                            <w:tblCellSpacing w:w="15" w:type="dxa"/>
                            <w:jc w:val="center"/>
                          </w:trPr>
                          <w:tc>
                            <w:tcPr>
                              <w:tcW w:w="0" w:type="auto"/>
                              <w:vAlign w:val="center"/>
                              <w:hideMark/>
                            </w:tcPr>
                            <w:p w:rsidR="001C0F79" w:rsidRPr="001C0F79" w:rsidRDefault="001C0F79" w:rsidP="001C0F79">
                              <w:pPr>
                                <w:spacing w:after="0" w:line="240" w:lineRule="auto"/>
                                <w:rPr>
                                  <w:rFonts w:ascii="Times New Roman" w:eastAsia="Times New Roman" w:hAnsi="Times New Roman" w:cs="Times New Roman"/>
                                  <w:sz w:val="24"/>
                                  <w:szCs w:val="24"/>
                                  <w:lang w:eastAsia="hr-HR"/>
                                </w:rPr>
                              </w:pPr>
                              <w:hyperlink r:id="rId5" w:tgtFrame="_blank" w:history="1">
                                <w:r w:rsidRPr="001C0F79">
                                  <w:rPr>
                                    <w:rFonts w:ascii="Times New Roman" w:eastAsia="Times New Roman" w:hAnsi="Times New Roman" w:cs="Times New Roman"/>
                                    <w:color w:val="0000FF"/>
                                    <w:sz w:val="24"/>
                                    <w:szCs w:val="24"/>
                                    <w:u w:val="single"/>
                                    <w:lang w:eastAsia="hr-HR"/>
                                  </w:rPr>
                                  <w:t>KLIKNITE OVDJE ZA PREGLED U WEB PREGLEDNIKU</w:t>
                                </w:r>
                              </w:hyperlink>
                              <w:r w:rsidRPr="001C0F79">
                                <w:rPr>
                                  <w:rFonts w:ascii="Times New Roman" w:eastAsia="Times New Roman" w:hAnsi="Times New Roman" w:cs="Times New Roman"/>
                                  <w:sz w:val="24"/>
                                  <w:szCs w:val="24"/>
                                  <w:lang w:eastAsia="hr-HR"/>
                                </w:rPr>
                                <w:t xml:space="preserve"> ‍</w:t>
                              </w:r>
                            </w:p>
                          </w:tc>
                        </w:tr>
                      </w:tbl>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186"/>
                  </w:tblGrid>
                  <w:tr w:rsidR="001C0F79" w:rsidRPr="001C0F79">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96"/>
                        </w:tblGrid>
                        <w:tr w:rsidR="001C0F79" w:rsidRPr="001C0F79">
                          <w:trPr>
                            <w:tblCellSpacing w:w="15" w:type="dxa"/>
                            <w:jc w:val="center"/>
                          </w:trPr>
                          <w:tc>
                            <w:tcPr>
                              <w:tcW w:w="0" w:type="auto"/>
                              <w:vAlign w:val="center"/>
                              <w:hideMark/>
                            </w:tcPr>
                            <w:p w:rsidR="001C0F79" w:rsidRPr="001C0F79" w:rsidRDefault="001C0F79" w:rsidP="001C0F79">
                              <w:pPr>
                                <w:spacing w:after="0" w:line="240" w:lineRule="auto"/>
                                <w:rPr>
                                  <w:rFonts w:ascii="Times New Roman" w:eastAsia="Times New Roman" w:hAnsi="Times New Roman" w:cs="Times New Roman"/>
                                  <w:sz w:val="24"/>
                                  <w:szCs w:val="24"/>
                                  <w:lang w:eastAsia="hr-HR"/>
                                </w:rPr>
                              </w:pPr>
                            </w:p>
                          </w:tc>
                        </w:tr>
                      </w:tbl>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186"/>
                  </w:tblGrid>
                  <w:tr w:rsidR="001C0F79" w:rsidRPr="001C0F79">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96"/>
                        </w:tblGrid>
                        <w:tr w:rsidR="001C0F79" w:rsidRPr="001C0F79">
                          <w:trPr>
                            <w:tblCellSpacing w:w="15" w:type="dxa"/>
                            <w:jc w:val="center"/>
                          </w:trPr>
                          <w:tc>
                            <w:tcPr>
                              <w:tcW w:w="0" w:type="auto"/>
                              <w:vAlign w:val="center"/>
                              <w:hideMark/>
                            </w:tcPr>
                            <w:p w:rsidR="001C0F79" w:rsidRPr="001C0F79" w:rsidRDefault="001C0F79" w:rsidP="001C0F79">
                              <w:pPr>
                                <w:spacing w:after="0" w:line="240" w:lineRule="auto"/>
                                <w:rPr>
                                  <w:rFonts w:ascii="Times New Roman" w:eastAsia="Times New Roman" w:hAnsi="Times New Roman" w:cs="Times New Roman"/>
                                  <w:sz w:val="24"/>
                                  <w:szCs w:val="24"/>
                                  <w:lang w:eastAsia="hr-HR"/>
                                </w:rPr>
                              </w:pPr>
                            </w:p>
                          </w:tc>
                        </w:tr>
                      </w:tbl>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8983"/>
                  </w:tblGrid>
                  <w:tr w:rsidR="001C0F79" w:rsidRPr="001C0F79">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8893"/>
                        </w:tblGrid>
                        <w:tr w:rsidR="001C0F79" w:rsidRPr="001C0F79">
                          <w:trPr>
                            <w:tblCellSpacing w:w="15" w:type="dxa"/>
                            <w:jc w:val="center"/>
                          </w:trPr>
                          <w:tc>
                            <w:tcPr>
                              <w:tcW w:w="0" w:type="auto"/>
                              <w:vAlign w:val="center"/>
                              <w:hideMark/>
                            </w:tcPr>
                            <w:p w:rsidR="001C0F79" w:rsidRPr="001C0F79" w:rsidRDefault="001C0F79" w:rsidP="001C0F79">
                              <w:pPr>
                                <w:spacing w:after="0" w:line="240" w:lineRule="auto"/>
                                <w:outlineLvl w:val="0"/>
                                <w:rPr>
                                  <w:rFonts w:ascii="Times New Roman" w:eastAsia="Times New Roman" w:hAnsi="Times New Roman" w:cs="Times New Roman"/>
                                  <w:b/>
                                  <w:bCs/>
                                  <w:kern w:val="36"/>
                                  <w:sz w:val="48"/>
                                  <w:szCs w:val="48"/>
                                  <w:lang w:eastAsia="hr-HR"/>
                                </w:rPr>
                              </w:pPr>
                              <w:r w:rsidRPr="001C0F79">
                                <w:rPr>
                                  <w:rFonts w:ascii="Times New Roman" w:eastAsia="Times New Roman" w:hAnsi="Times New Roman" w:cs="Times New Roman"/>
                                  <w:b/>
                                  <w:bCs/>
                                  <w:kern w:val="36"/>
                                  <w:sz w:val="48"/>
                                  <w:szCs w:val="48"/>
                                  <w:lang w:eastAsia="hr-HR"/>
                                </w:rPr>
                                <w:t>POTPORE ZA POLJOPRIVREDNE MJERE</w:t>
                              </w:r>
                              <w:r w:rsidRPr="001C0F79">
                                <w:rPr>
                                  <w:rFonts w:ascii="Times New Roman" w:eastAsia="Times New Roman" w:hAnsi="Times New Roman" w:cs="Times New Roman"/>
                                  <w:b/>
                                  <w:bCs/>
                                  <w:kern w:val="36"/>
                                  <w:sz w:val="48"/>
                                  <w:szCs w:val="48"/>
                                  <w:lang w:eastAsia="hr-HR"/>
                                </w:rPr>
                                <w:br/>
                                <w:t xml:space="preserve">4.1.1., 4.2.1. i 4.2.2. </w:t>
                              </w:r>
                              <w:r w:rsidRPr="001C0F79">
                                <w:rPr>
                                  <w:rFonts w:ascii="Times New Roman" w:eastAsia="Times New Roman" w:hAnsi="Times New Roman" w:cs="Times New Roman"/>
                                  <w:b/>
                                  <w:bCs/>
                                  <w:kern w:val="36"/>
                                  <w:sz w:val="48"/>
                                  <w:szCs w:val="48"/>
                                  <w:lang w:eastAsia="hr-HR"/>
                                </w:rPr>
                                <w:br/>
                              </w:r>
                            </w:p>
                          </w:tc>
                        </w:tr>
                      </w:tbl>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96"/>
                  </w:tblGrid>
                  <w:tr w:rsidR="001C0F79" w:rsidRPr="001C0F79">
                    <w:trPr>
                      <w:tblCellSpacing w:w="15" w:type="dxa"/>
                    </w:trPr>
                    <w:tc>
                      <w:tcPr>
                        <w:tcW w:w="0" w:type="auto"/>
                        <w:vAlign w:val="center"/>
                        <w:hideMark/>
                      </w:tcPr>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6825"/>
                  </w:tblGrid>
                  <w:tr w:rsidR="001C0F79" w:rsidRPr="001C0F79">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6735"/>
                        </w:tblGrid>
                        <w:tr w:rsidR="001C0F79" w:rsidRPr="001C0F79">
                          <w:trPr>
                            <w:tblCellSpacing w:w="15" w:type="dxa"/>
                            <w:jc w:val="center"/>
                          </w:trPr>
                          <w:tc>
                            <w:tcPr>
                              <w:tcW w:w="0" w:type="auto"/>
                              <w:vAlign w:val="center"/>
                              <w:hideMark/>
                            </w:tcPr>
                            <w:p w:rsidR="001C0F79" w:rsidRPr="001C0F79" w:rsidRDefault="001C0F79" w:rsidP="001C0F79">
                              <w:pPr>
                                <w:spacing w:after="0" w:line="240" w:lineRule="auto"/>
                                <w:outlineLvl w:val="0"/>
                                <w:rPr>
                                  <w:rFonts w:ascii="Times New Roman" w:eastAsia="Times New Roman" w:hAnsi="Times New Roman" w:cs="Times New Roman"/>
                                  <w:b/>
                                  <w:bCs/>
                                  <w:kern w:val="36"/>
                                  <w:sz w:val="48"/>
                                  <w:szCs w:val="48"/>
                                  <w:lang w:eastAsia="hr-HR"/>
                                </w:rPr>
                              </w:pPr>
                              <w:r w:rsidRPr="001C0F79">
                                <w:rPr>
                                  <w:rFonts w:ascii="Times New Roman" w:eastAsia="Times New Roman" w:hAnsi="Times New Roman" w:cs="Times New Roman"/>
                                  <w:b/>
                                  <w:bCs/>
                                  <w:kern w:val="36"/>
                                  <w:sz w:val="48"/>
                                  <w:szCs w:val="48"/>
                                  <w:lang w:eastAsia="hr-HR"/>
                                </w:rPr>
                                <w:t>Prijave kreću 11. i 17. studenoga</w:t>
                              </w:r>
                            </w:p>
                          </w:tc>
                        </w:tr>
                      </w:tbl>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1620"/>
                  </w:tblGrid>
                  <w:tr w:rsidR="001C0F79" w:rsidRPr="001C0F79">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1530"/>
                        </w:tblGrid>
                        <w:tr w:rsidR="001C0F79" w:rsidRPr="001C0F79">
                          <w:trPr>
                            <w:tblCellSpacing w:w="15" w:type="dxa"/>
                            <w:jc w:val="center"/>
                          </w:trPr>
                          <w:tc>
                            <w:tcPr>
                              <w:tcW w:w="0" w:type="auto"/>
                              <w:vAlign w:val="center"/>
                              <w:hideMark/>
                            </w:tcPr>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pict>
                                  <v:rect id="_x0000_i1025" style="width:0;height:1.5pt" o:hralign="center" o:hrstd="t" o:hr="t" fillcolor="#a0a0a0" stroked="f"/>
                                </w:pict>
                              </w:r>
                            </w:p>
                          </w:tc>
                        </w:tr>
                      </w:tbl>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8983"/>
                  </w:tblGrid>
                  <w:tr w:rsidR="001C0F79" w:rsidRPr="001C0F79">
                    <w:trPr>
                      <w:trHeight w:val="1050"/>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8893"/>
                        </w:tblGrid>
                        <w:tr w:rsidR="001C0F79" w:rsidRPr="001C0F79">
                          <w:trPr>
                            <w:tblCellSpacing w:w="15" w:type="dxa"/>
                            <w:jc w:val="center"/>
                          </w:trPr>
                          <w:tc>
                            <w:tcPr>
                              <w:tcW w:w="0" w:type="auto"/>
                              <w:vAlign w:val="center"/>
                              <w:hideMark/>
                            </w:tcPr>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Agencija za plaćanja u poljoprivredi, ribarstvu i ruralnom razvoju objavila je natječaj za mjeru 4.1.1. – ulaganja u navodnjavanje na poljoprivrednom gospodarstvu te najavila objavljivanje natječaja za mjeru 4.2.1. – povećanje dodane vrijednosti poljoprivrednim proizvodima te za mjeru 4.2.2. – korištenje obnovljivih izvora energije.</w:t>
                              </w:r>
                            </w:p>
                          </w:tc>
                        </w:tr>
                        <w:tr w:rsidR="001C0F79" w:rsidRPr="001C0F79">
                          <w:trPr>
                            <w:tblCellSpacing w:w="15" w:type="dxa"/>
                            <w:jc w:val="center"/>
                          </w:trPr>
                          <w:tc>
                            <w:tcPr>
                              <w:tcW w:w="0" w:type="auto"/>
                              <w:vAlign w:val="center"/>
                              <w:hideMark/>
                            </w:tcPr>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w:t>
                              </w:r>
                            </w:p>
                          </w:tc>
                        </w:tr>
                      </w:tbl>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8983"/>
                  </w:tblGrid>
                  <w:tr w:rsidR="001C0F79" w:rsidRPr="001C0F79">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8893"/>
                        </w:tblGrid>
                        <w:tr w:rsidR="001C0F79" w:rsidRPr="001C0F79">
                          <w:trPr>
                            <w:tblCellSpacing w:w="15" w:type="dxa"/>
                            <w:jc w:val="center"/>
                          </w:trPr>
                          <w:tc>
                            <w:tcPr>
                              <w:tcW w:w="0" w:type="auto"/>
                              <w:vAlign w:val="center"/>
                              <w:hideMark/>
                            </w:tcPr>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4.1.1. NAVODNJAVANJE</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Prihvatljivi korisnici i ekonomska veličina PG-a</w:t>
                              </w:r>
                              <w:r w:rsidRPr="001C0F79">
                                <w:rPr>
                                  <w:rFonts w:ascii="Times New Roman" w:eastAsia="Times New Roman" w:hAnsi="Times New Roman" w:cs="Times New Roman"/>
                                  <w:b/>
                                  <w:bCs/>
                                  <w:sz w:val="24"/>
                                  <w:szCs w:val="24"/>
                                  <w:lang w:eastAsia="hr-HR"/>
                                </w:rPr>
                                <w:br/>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br/>
                                <w:t xml:space="preserve">Prihvatljivi korisnici bespovratnih potpora su pravne i fizičke osobe </w:t>
                              </w:r>
                              <w:r w:rsidRPr="001C0F79">
                                <w:rPr>
                                  <w:rFonts w:ascii="Times New Roman" w:eastAsia="Times New Roman" w:hAnsi="Times New Roman" w:cs="Times New Roman"/>
                                  <w:b/>
                                  <w:bCs/>
                                  <w:sz w:val="24"/>
                                  <w:szCs w:val="24"/>
                                  <w:lang w:eastAsia="hr-HR"/>
                                </w:rPr>
                                <w:t>upisane u Upisnik poljoprivrednika</w:t>
                              </w:r>
                              <w:r w:rsidRPr="001C0F79">
                                <w:rPr>
                                  <w:rFonts w:ascii="Times New Roman" w:eastAsia="Times New Roman" w:hAnsi="Times New Roman" w:cs="Times New Roman"/>
                                  <w:sz w:val="24"/>
                                  <w:szCs w:val="24"/>
                                  <w:lang w:eastAsia="hr-HR"/>
                                </w:rPr>
                                <w:t xml:space="preserve"> prije 12. rujna 2021. godine, proizvođačke organizacije priznate sukladno posebnim propisima kojima se uređuje rad proizvođačkih organizacija te mladi poljoprivrednici koji su zahtjev za upis u Upisnik poljoprivrednika podnijeli prije objave nacrta Natječaja na e-savjetovanju (prije 12. rujna 2022. godine.).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br/>
                                <w:t xml:space="preserve">Prijavitelj (izuzev proizvođačkih organizacija i zadruga) mora dokazati ekonomsku veličinu poljoprivrednog gospodarstva od najmanje </w:t>
                              </w:r>
                              <w:r w:rsidRPr="001C0F79">
                                <w:rPr>
                                  <w:rFonts w:ascii="Times New Roman" w:eastAsia="Times New Roman" w:hAnsi="Times New Roman" w:cs="Times New Roman"/>
                                  <w:b/>
                                  <w:bCs/>
                                  <w:sz w:val="24"/>
                                  <w:szCs w:val="24"/>
                                  <w:lang w:eastAsia="hr-HR"/>
                                </w:rPr>
                                <w:t>6.000 EUR</w:t>
                              </w:r>
                              <w:r w:rsidRPr="001C0F79">
                                <w:rPr>
                                  <w:rFonts w:ascii="Times New Roman" w:eastAsia="Times New Roman" w:hAnsi="Times New Roman" w:cs="Times New Roman"/>
                                  <w:sz w:val="24"/>
                                  <w:szCs w:val="24"/>
                                  <w:lang w:eastAsia="hr-HR"/>
                                </w:rPr>
                                <w:t xml:space="preserve"> u sektoru voća, povrća, cvijeća i ukrasnog bilja te </w:t>
                              </w:r>
                              <w:r w:rsidRPr="001C0F79">
                                <w:rPr>
                                  <w:rFonts w:ascii="Times New Roman" w:eastAsia="Times New Roman" w:hAnsi="Times New Roman" w:cs="Times New Roman"/>
                                  <w:b/>
                                  <w:bCs/>
                                  <w:sz w:val="24"/>
                                  <w:szCs w:val="24"/>
                                  <w:lang w:eastAsia="hr-HR"/>
                                </w:rPr>
                                <w:t>8.000 EUR</w:t>
                              </w:r>
                              <w:r w:rsidRPr="001C0F79">
                                <w:rPr>
                                  <w:rFonts w:ascii="Times New Roman" w:eastAsia="Times New Roman" w:hAnsi="Times New Roman" w:cs="Times New Roman"/>
                                  <w:sz w:val="24"/>
                                  <w:szCs w:val="24"/>
                                  <w:lang w:eastAsia="hr-HR"/>
                                </w:rPr>
                                <w:t xml:space="preserve"> u ostalim sektorima. </w:t>
                              </w:r>
                              <w:r w:rsidRPr="001C0F79">
                                <w:rPr>
                                  <w:rFonts w:ascii="Times New Roman" w:eastAsia="Times New Roman" w:hAnsi="Times New Roman" w:cs="Times New Roman"/>
                                  <w:sz w:val="24"/>
                                  <w:szCs w:val="24"/>
                                  <w:lang w:eastAsia="hr-HR"/>
                                </w:rPr>
                                <w:br/>
                              </w:r>
                              <w:r w:rsidRPr="001C0F79">
                                <w:rPr>
                                  <w:rFonts w:ascii="Times New Roman" w:eastAsia="Times New Roman" w:hAnsi="Times New Roman" w:cs="Times New Roman"/>
                                  <w:sz w:val="24"/>
                                  <w:szCs w:val="24"/>
                                  <w:lang w:eastAsia="hr-HR"/>
                                </w:rPr>
                                <w:br/>
                              </w:r>
                              <w:r w:rsidRPr="001C0F79">
                                <w:rPr>
                                  <w:rFonts w:ascii="Times New Roman" w:eastAsia="Times New Roman" w:hAnsi="Times New Roman" w:cs="Times New Roman"/>
                                  <w:b/>
                                  <w:bCs/>
                                  <w:sz w:val="24"/>
                                  <w:szCs w:val="24"/>
                                  <w:lang w:eastAsia="hr-HR"/>
                                </w:rPr>
                                <w:t>Razina i visina potpor</w:t>
                              </w:r>
                              <w:r>
                                <w:rPr>
                                  <w:rFonts w:ascii="Times New Roman" w:eastAsia="Times New Roman" w:hAnsi="Times New Roman" w:cs="Times New Roman"/>
                                  <w:b/>
                                  <w:bCs/>
                                  <w:sz w:val="24"/>
                                  <w:szCs w:val="24"/>
                                  <w:lang w:eastAsia="hr-HR"/>
                                </w:rPr>
                                <w:t>a</w:t>
                              </w:r>
                              <w:r w:rsidRPr="001C0F79">
                                <w:rPr>
                                  <w:rFonts w:ascii="Times New Roman" w:eastAsia="Times New Roman" w:hAnsi="Times New Roman" w:cs="Times New Roman"/>
                                  <w:sz w:val="24"/>
                                  <w:szCs w:val="24"/>
                                  <w:lang w:eastAsia="hr-HR"/>
                                </w:rPr>
                                <w:br/>
                                <w:t> </w:t>
                              </w:r>
                              <w:r w:rsidRPr="001C0F79">
                                <w:rPr>
                                  <w:rFonts w:ascii="Times New Roman" w:eastAsia="Times New Roman" w:hAnsi="Times New Roman" w:cs="Times New Roman"/>
                                  <w:sz w:val="24"/>
                                  <w:szCs w:val="24"/>
                                  <w:lang w:eastAsia="hr-HR"/>
                                </w:rPr>
                                <w:br/>
                                <w:t xml:space="preserve">Ukupan iznos raspoloživih sredstava javne potpore po ovom natječaju je 63.500.000,00 HRK. Maksimalni iznos potpore po projektu je </w:t>
                              </w:r>
                              <w:r w:rsidRPr="001C0F79">
                                <w:rPr>
                                  <w:rFonts w:ascii="Times New Roman" w:eastAsia="Times New Roman" w:hAnsi="Times New Roman" w:cs="Times New Roman"/>
                                  <w:b/>
                                  <w:bCs/>
                                  <w:sz w:val="24"/>
                                  <w:szCs w:val="24"/>
                                  <w:lang w:eastAsia="hr-HR"/>
                                </w:rPr>
                                <w:t>100.000 EUR</w:t>
                              </w:r>
                              <w:r w:rsidRPr="001C0F79">
                                <w:rPr>
                                  <w:rFonts w:ascii="Times New Roman" w:eastAsia="Times New Roman" w:hAnsi="Times New Roman" w:cs="Times New Roman"/>
                                  <w:sz w:val="24"/>
                                  <w:szCs w:val="24"/>
                                  <w:lang w:eastAsia="hr-HR"/>
                                </w:rPr>
                                <w:t xml:space="preserve">.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xml:space="preserve">Razina potpore je do </w:t>
                              </w:r>
                              <w:r w:rsidRPr="001C0F79">
                                <w:rPr>
                                  <w:rFonts w:ascii="Times New Roman" w:eastAsia="Times New Roman" w:hAnsi="Times New Roman" w:cs="Times New Roman"/>
                                  <w:b/>
                                  <w:bCs/>
                                  <w:sz w:val="24"/>
                                  <w:szCs w:val="24"/>
                                  <w:lang w:eastAsia="hr-HR"/>
                                </w:rPr>
                                <w:t>50%</w:t>
                              </w:r>
                              <w:r w:rsidRPr="001C0F79">
                                <w:rPr>
                                  <w:rFonts w:ascii="Times New Roman" w:eastAsia="Times New Roman" w:hAnsi="Times New Roman" w:cs="Times New Roman"/>
                                  <w:sz w:val="24"/>
                                  <w:szCs w:val="24"/>
                                  <w:lang w:eastAsia="hr-HR"/>
                                </w:rPr>
                                <w:t xml:space="preserve"> od ukupno prihvatljivih troškova projekta.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br/>
                                <w:t xml:space="preserve">Intenzitet potpore može se uvećati za </w:t>
                              </w:r>
                              <w:r w:rsidRPr="001C0F79">
                                <w:rPr>
                                  <w:rFonts w:ascii="Times New Roman" w:eastAsia="Times New Roman" w:hAnsi="Times New Roman" w:cs="Times New Roman"/>
                                  <w:b/>
                                  <w:bCs/>
                                  <w:sz w:val="24"/>
                                  <w:szCs w:val="24"/>
                                  <w:lang w:eastAsia="hr-HR"/>
                                </w:rPr>
                                <w:t>dodatnih 20%</w:t>
                              </w:r>
                              <w:r w:rsidRPr="001C0F79">
                                <w:rPr>
                                  <w:rFonts w:ascii="Times New Roman" w:eastAsia="Times New Roman" w:hAnsi="Times New Roman" w:cs="Times New Roman"/>
                                  <w:sz w:val="24"/>
                                  <w:szCs w:val="24"/>
                                  <w:lang w:eastAsia="hr-HR"/>
                                </w:rPr>
                                <w:t xml:space="preserve"> u sljedećim slučajevima: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xml:space="preserve">a)  ulaganje provodi mladi poljoprivrednik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xml:space="preserve">b) ulaganje se odvija u planinskom području, području sa značajnim prirodnim </w:t>
                              </w:r>
                              <w:r w:rsidRPr="001C0F79">
                                <w:rPr>
                                  <w:rFonts w:ascii="Times New Roman" w:eastAsia="Times New Roman" w:hAnsi="Times New Roman" w:cs="Times New Roman"/>
                                  <w:sz w:val="24"/>
                                  <w:szCs w:val="24"/>
                                  <w:lang w:eastAsia="hr-HR"/>
                                </w:rPr>
                                <w:lastRenderedPageBreak/>
                                <w:t xml:space="preserve">ograničenjima ili ostalim područjima s posebnim ograničenjima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br/>
                                <w:t xml:space="preserve">Najveći intenzitet kombinirane potpore </w:t>
                              </w:r>
                              <w:r w:rsidRPr="001C0F79">
                                <w:rPr>
                                  <w:rFonts w:ascii="Times New Roman" w:eastAsia="Times New Roman" w:hAnsi="Times New Roman" w:cs="Times New Roman"/>
                                  <w:b/>
                                  <w:bCs/>
                                  <w:sz w:val="24"/>
                                  <w:szCs w:val="24"/>
                                  <w:lang w:eastAsia="hr-HR"/>
                                </w:rPr>
                                <w:t>ne smije biti veći od 70%</w:t>
                              </w:r>
                              <w:r w:rsidRPr="001C0F79">
                                <w:rPr>
                                  <w:rFonts w:ascii="Times New Roman" w:eastAsia="Times New Roman" w:hAnsi="Times New Roman" w:cs="Times New Roman"/>
                                  <w:sz w:val="24"/>
                                  <w:szCs w:val="24"/>
                                  <w:lang w:eastAsia="hr-HR"/>
                                </w:rPr>
                                <w:t xml:space="preserve"> od ukupno prihvatljivih troškova projekta.</w:t>
                              </w:r>
                              <w:r w:rsidRPr="001C0F79">
                                <w:rPr>
                                  <w:rFonts w:ascii="Times New Roman" w:eastAsia="Times New Roman" w:hAnsi="Times New Roman" w:cs="Times New Roman"/>
                                  <w:b/>
                                  <w:bCs/>
                                  <w:sz w:val="24"/>
                                  <w:szCs w:val="24"/>
                                  <w:lang w:eastAsia="hr-HR"/>
                                </w:rPr>
                                <w:br/>
                              </w:r>
                              <w:r w:rsidRPr="001C0F79">
                                <w:rPr>
                                  <w:rFonts w:ascii="Times New Roman" w:eastAsia="Times New Roman" w:hAnsi="Times New Roman" w:cs="Times New Roman"/>
                                  <w:sz w:val="24"/>
                                  <w:szCs w:val="24"/>
                                  <w:lang w:eastAsia="hr-HR"/>
                                </w:rPr>
                                <w:br/>
                              </w:r>
                              <w:r w:rsidRPr="001C0F79">
                                <w:rPr>
                                  <w:rFonts w:ascii="Times New Roman" w:eastAsia="Times New Roman" w:hAnsi="Times New Roman" w:cs="Times New Roman"/>
                                  <w:b/>
                                  <w:bCs/>
                                  <w:sz w:val="24"/>
                                  <w:szCs w:val="24"/>
                                  <w:lang w:eastAsia="hr-HR"/>
                                </w:rPr>
                                <w:t>Prihvatljive aktivnosti i troškovi</w:t>
                              </w:r>
                              <w:r w:rsidRPr="001C0F79">
                                <w:rPr>
                                  <w:rFonts w:ascii="Times New Roman" w:eastAsia="Times New Roman" w:hAnsi="Times New Roman" w:cs="Times New Roman"/>
                                  <w:sz w:val="24"/>
                                  <w:szCs w:val="24"/>
                                  <w:lang w:eastAsia="hr-HR"/>
                                </w:rPr>
                                <w:t xml:space="preserve">  </w:t>
                              </w:r>
                              <w:r w:rsidRPr="001C0F79">
                                <w:rPr>
                                  <w:rFonts w:ascii="Times New Roman" w:eastAsia="Times New Roman" w:hAnsi="Times New Roman" w:cs="Times New Roman"/>
                                  <w:sz w:val="24"/>
                                  <w:szCs w:val="24"/>
                                  <w:lang w:eastAsia="hr-HR"/>
                                </w:rPr>
                                <w:br/>
                              </w:r>
                              <w:r w:rsidRPr="001C0F79">
                                <w:rPr>
                                  <w:rFonts w:ascii="Times New Roman" w:eastAsia="Times New Roman" w:hAnsi="Times New Roman" w:cs="Times New Roman"/>
                                  <w:sz w:val="24"/>
                                  <w:szCs w:val="24"/>
                                  <w:lang w:eastAsia="hr-HR"/>
                                </w:rPr>
                                <w:br/>
                                <w:t xml:space="preserve">Dozvoljene (prihvatljive) aktivnosti za ovu mjeru su: </w:t>
                              </w:r>
                            </w:p>
                            <w:p w:rsidR="001C0F79" w:rsidRPr="001C0F79" w:rsidRDefault="001C0F79" w:rsidP="001C0F79">
                              <w:pPr>
                                <w:numPr>
                                  <w:ilvl w:val="0"/>
                                  <w:numId w:val="1"/>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xml:space="preserve">Lokalizirano navodnjavanje: </w:t>
                              </w:r>
                              <w:r w:rsidRPr="001C0F79">
                                <w:rPr>
                                  <w:rFonts w:ascii="Times New Roman" w:eastAsia="Times New Roman" w:hAnsi="Times New Roman" w:cs="Times New Roman"/>
                                  <w:b/>
                                  <w:bCs/>
                                  <w:sz w:val="24"/>
                                  <w:szCs w:val="24"/>
                                  <w:lang w:eastAsia="hr-HR"/>
                                </w:rPr>
                                <w:t>sustav navodnjavanja kap po kap</w:t>
                              </w:r>
                              <w:r w:rsidRPr="001C0F79">
                                <w:rPr>
                                  <w:rFonts w:ascii="Times New Roman" w:eastAsia="Times New Roman" w:hAnsi="Times New Roman" w:cs="Times New Roman"/>
                                  <w:sz w:val="24"/>
                                  <w:szCs w:val="24"/>
                                  <w:lang w:eastAsia="hr-HR"/>
                                </w:rPr>
                                <w:t xml:space="preserve"> sa i bez mogućnosti dodavanja hranjiva, </w:t>
                              </w:r>
                              <w:r w:rsidRPr="001C0F79">
                                <w:rPr>
                                  <w:rFonts w:ascii="Times New Roman" w:eastAsia="Times New Roman" w:hAnsi="Times New Roman" w:cs="Times New Roman"/>
                                  <w:b/>
                                  <w:bCs/>
                                  <w:sz w:val="24"/>
                                  <w:szCs w:val="24"/>
                                  <w:lang w:eastAsia="hr-HR"/>
                                </w:rPr>
                                <w:t>mikrorasprskivači</w:t>
                              </w:r>
                              <w:r w:rsidRPr="001C0F79">
                                <w:rPr>
                                  <w:rFonts w:ascii="Times New Roman" w:eastAsia="Times New Roman" w:hAnsi="Times New Roman" w:cs="Times New Roman"/>
                                  <w:sz w:val="24"/>
                                  <w:szCs w:val="24"/>
                                  <w:lang w:eastAsia="hr-HR"/>
                                </w:rPr>
                                <w:t xml:space="preserve"> štapni i viseći</w:t>
                              </w:r>
                            </w:p>
                            <w:p w:rsidR="001C0F79" w:rsidRPr="001C0F79" w:rsidRDefault="001C0F79" w:rsidP="001C0F79">
                              <w:pPr>
                                <w:numPr>
                                  <w:ilvl w:val="0"/>
                                  <w:numId w:val="1"/>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Navodnjavanje iz zraka kišenjem</w:t>
                              </w:r>
                              <w:r w:rsidRPr="001C0F79">
                                <w:rPr>
                                  <w:rFonts w:ascii="Times New Roman" w:eastAsia="Times New Roman" w:hAnsi="Times New Roman" w:cs="Times New Roman"/>
                                  <w:sz w:val="24"/>
                                  <w:szCs w:val="24"/>
                                  <w:lang w:eastAsia="hr-HR"/>
                                </w:rPr>
                                <w:t xml:space="preserve"> i/ili navodnjavanje sektorskim rasprskivačima: nepokretni, polupokretni i pokretni sustavi kišenjem, </w:t>
                              </w:r>
                              <w:r w:rsidRPr="001C0F79">
                                <w:rPr>
                                  <w:rFonts w:ascii="Times New Roman" w:eastAsia="Times New Roman" w:hAnsi="Times New Roman" w:cs="Times New Roman"/>
                                  <w:b/>
                                  <w:bCs/>
                                  <w:sz w:val="24"/>
                                  <w:szCs w:val="24"/>
                                  <w:lang w:eastAsia="hr-HR"/>
                                </w:rPr>
                                <w:t>samohodni uređaji</w:t>
                              </w:r>
                              <w:r w:rsidRPr="001C0F79">
                                <w:rPr>
                                  <w:rFonts w:ascii="Times New Roman" w:eastAsia="Times New Roman" w:hAnsi="Times New Roman" w:cs="Times New Roman"/>
                                  <w:sz w:val="24"/>
                                  <w:szCs w:val="24"/>
                                  <w:lang w:eastAsia="hr-HR"/>
                                </w:rPr>
                                <w:t xml:space="preserve"> za navodnjavanje, bočna kišna krila i prskalice, samohodni sektorski rasprskivači i automatizirani sustavi za linijsko i kružno navodnjavanje </w:t>
                              </w:r>
                            </w:p>
                            <w:p w:rsidR="001C0F79" w:rsidRPr="001C0F79" w:rsidRDefault="001C0F79" w:rsidP="001C0F79">
                              <w:pPr>
                                <w:numPr>
                                  <w:ilvl w:val="0"/>
                                  <w:numId w:val="1"/>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xml:space="preserve">Vrsta zahvata (crpljenja) vode i sustavi za crpljenje i dovod vode: </w:t>
                              </w:r>
                              <w:r w:rsidRPr="001C0F79">
                                <w:rPr>
                                  <w:rFonts w:ascii="Times New Roman" w:eastAsia="Times New Roman" w:hAnsi="Times New Roman" w:cs="Times New Roman"/>
                                  <w:b/>
                                  <w:bCs/>
                                  <w:sz w:val="24"/>
                                  <w:szCs w:val="24"/>
                                  <w:lang w:eastAsia="hr-HR"/>
                                </w:rPr>
                                <w:t>akumulacija</w:t>
                              </w:r>
                              <w:r w:rsidRPr="001C0F79">
                                <w:rPr>
                                  <w:rFonts w:ascii="Times New Roman" w:eastAsia="Times New Roman" w:hAnsi="Times New Roman" w:cs="Times New Roman"/>
                                  <w:sz w:val="24"/>
                                  <w:szCs w:val="24"/>
                                  <w:lang w:eastAsia="hr-HR"/>
                                </w:rPr>
                                <w:t xml:space="preserve">, </w:t>
                              </w:r>
                              <w:r w:rsidRPr="001C0F79">
                                <w:rPr>
                                  <w:rFonts w:ascii="Times New Roman" w:eastAsia="Times New Roman" w:hAnsi="Times New Roman" w:cs="Times New Roman"/>
                                  <w:b/>
                                  <w:bCs/>
                                  <w:sz w:val="24"/>
                                  <w:szCs w:val="24"/>
                                  <w:lang w:eastAsia="hr-HR"/>
                                </w:rPr>
                                <w:t>bunar, cisterne/spremnici</w:t>
                              </w:r>
                              <w:r w:rsidRPr="001C0F79">
                                <w:rPr>
                                  <w:rFonts w:ascii="Times New Roman" w:eastAsia="Times New Roman" w:hAnsi="Times New Roman" w:cs="Times New Roman"/>
                                  <w:sz w:val="24"/>
                                  <w:szCs w:val="24"/>
                                  <w:lang w:eastAsia="hr-HR"/>
                                </w:rPr>
                                <w:t xml:space="preserve">, sustavi za crpljenje i dovod vode </w:t>
                              </w:r>
                            </w:p>
                            <w:p w:rsidR="001C0F79" w:rsidRPr="001C0F79" w:rsidRDefault="001C0F79" w:rsidP="001C0F79">
                              <w:pPr>
                                <w:numPr>
                                  <w:ilvl w:val="0"/>
                                  <w:numId w:val="1"/>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Automatizacija sustava</w:t>
                              </w:r>
                              <w:r w:rsidRPr="001C0F79">
                                <w:rPr>
                                  <w:rFonts w:ascii="Times New Roman" w:eastAsia="Times New Roman" w:hAnsi="Times New Roman" w:cs="Times New Roman"/>
                                  <w:sz w:val="24"/>
                                  <w:szCs w:val="24"/>
                                  <w:lang w:eastAsia="hr-HR"/>
                                </w:rPr>
                                <w:t xml:space="preserve">: centralna jedinica povezana sa senzorima/uređajima za mjerenje vlažnosti tla i meteorološkom stanicom, senzori i uređaji za praćenje stanja vlažnosti tla </w:t>
                              </w:r>
                            </w:p>
                            <w:p w:rsidR="001C0F79" w:rsidRPr="001C0F79" w:rsidRDefault="001C0F79" w:rsidP="001C0F79">
                              <w:pPr>
                                <w:numPr>
                                  <w:ilvl w:val="0"/>
                                  <w:numId w:val="1"/>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Opći troškovi</w:t>
                              </w:r>
                              <w:r w:rsidRPr="001C0F79">
                                <w:rPr>
                                  <w:rFonts w:ascii="Times New Roman" w:eastAsia="Times New Roman" w:hAnsi="Times New Roman" w:cs="Times New Roman"/>
                                  <w:sz w:val="24"/>
                                  <w:szCs w:val="24"/>
                                  <w:lang w:eastAsia="hr-HR"/>
                                </w:rPr>
                                <w:t xml:space="preserve"> – troškovi pripreme poslovnog plana, troškovi pripreme dokumentacije, troškovi projektno – tehničke dokumentacije, geodetskih podloga, elaborata i trošak nadzora </w:t>
                              </w:r>
                            </w:p>
                            <w:p w:rsidR="001C0F79" w:rsidRPr="001C0F79" w:rsidRDefault="001C0F79" w:rsidP="001C0F79">
                              <w:pPr>
                                <w:numPr>
                                  <w:ilvl w:val="0"/>
                                  <w:numId w:val="1"/>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Nematerijalni troškovi</w:t>
                              </w:r>
                              <w:r w:rsidRPr="001C0F79">
                                <w:rPr>
                                  <w:rFonts w:ascii="Times New Roman" w:eastAsia="Times New Roman" w:hAnsi="Times New Roman" w:cs="Times New Roman"/>
                                  <w:sz w:val="24"/>
                                  <w:szCs w:val="24"/>
                                  <w:lang w:eastAsia="hr-HR"/>
                                </w:rPr>
                                <w:t xml:space="preserve"> – kupnja ili razvoj računalnih programa, kupnja prava na patente i licence</w:t>
                              </w:r>
                              <w:r w:rsidRPr="001C0F79">
                                <w:rPr>
                                  <w:rFonts w:ascii="Times New Roman" w:eastAsia="Times New Roman" w:hAnsi="Times New Roman" w:cs="Times New Roman"/>
                                  <w:sz w:val="24"/>
                                  <w:szCs w:val="24"/>
                                  <w:lang w:eastAsia="hr-HR"/>
                                </w:rPr>
                                <w:br/>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Prijave se podnose od 11. studenoga do 29. prosinca 2022. godine.</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xml:space="preserve">Više o natječaju možete pronaći </w:t>
                              </w:r>
                              <w:hyperlink r:id="rId6" w:tgtFrame="_blank" w:history="1">
                                <w:r w:rsidRPr="001C0F79">
                                  <w:rPr>
                                    <w:rFonts w:ascii="Times New Roman" w:eastAsia="Times New Roman" w:hAnsi="Times New Roman" w:cs="Times New Roman"/>
                                    <w:color w:val="0000FF"/>
                                    <w:sz w:val="24"/>
                                    <w:szCs w:val="24"/>
                                    <w:u w:val="single"/>
                                    <w:lang w:eastAsia="hr-HR"/>
                                  </w:rPr>
                                  <w:t>ovdje</w:t>
                                </w:r>
                              </w:hyperlink>
                              <w:r w:rsidRPr="001C0F79">
                                <w:rPr>
                                  <w:rFonts w:ascii="Times New Roman" w:eastAsia="Times New Roman" w:hAnsi="Times New Roman" w:cs="Times New Roman"/>
                                  <w:sz w:val="24"/>
                                  <w:szCs w:val="24"/>
                                  <w:lang w:eastAsia="hr-HR"/>
                                </w:rPr>
                                <w:t>.</w:t>
                              </w:r>
                            </w:p>
                          </w:tc>
                        </w:tr>
                      </w:tbl>
                      <w:p w:rsidR="001C0F79" w:rsidRPr="001C0F79" w:rsidRDefault="001C0F79" w:rsidP="001C0F79">
                        <w:pPr>
                          <w:spacing w:after="0" w:line="240" w:lineRule="auto"/>
                          <w:jc w:val="center"/>
                          <w:rPr>
                            <w:rFonts w:ascii="Times New Roman" w:eastAsia="Times New Roman" w:hAnsi="Times New Roman" w:cs="Times New Roman"/>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8983"/>
                  </w:tblGrid>
                  <w:tr w:rsidR="001C0F79" w:rsidRPr="001C0F79">
                    <w:trPr>
                      <w:trHeight w:val="13500"/>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8893"/>
                        </w:tblGrid>
                        <w:tr w:rsidR="001C0F79" w:rsidRPr="001C0F79">
                          <w:trPr>
                            <w:tblCellSpacing w:w="15" w:type="dxa"/>
                            <w:jc w:val="center"/>
                          </w:trPr>
                          <w:tc>
                            <w:tcPr>
                              <w:tcW w:w="0" w:type="auto"/>
                              <w:vAlign w:val="center"/>
                              <w:hideMark/>
                            </w:tcPr>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lastRenderedPageBreak/>
                                <w:t>4.2.1. PRERADA (POVEĆANJE DODANE VRIJEDNOSTI POLJOPRIVREDNIM PROIZVODIMA)</w:t>
                              </w:r>
                              <w:r w:rsidRPr="001C0F79">
                                <w:rPr>
                                  <w:rFonts w:ascii="Times New Roman" w:eastAsia="Times New Roman" w:hAnsi="Times New Roman" w:cs="Times New Roman"/>
                                  <w:sz w:val="24"/>
                                  <w:szCs w:val="24"/>
                                  <w:lang w:eastAsia="hr-HR"/>
                                </w:rPr>
                                <w:t xml:space="preserve">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Prihvatljivi korisnici</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xml:space="preserve">Prihvatljivi korisnici bespovratnih potpora su pravne i fizičke osobe </w:t>
                              </w:r>
                              <w:r w:rsidRPr="001C0F79">
                                <w:rPr>
                                  <w:rFonts w:ascii="Times New Roman" w:eastAsia="Times New Roman" w:hAnsi="Times New Roman" w:cs="Times New Roman"/>
                                  <w:b/>
                                  <w:bCs/>
                                  <w:sz w:val="24"/>
                                  <w:szCs w:val="24"/>
                                  <w:lang w:eastAsia="hr-HR"/>
                                </w:rPr>
                                <w:t>registrirane za preradu poljoprivrednih proizvoda</w:t>
                              </w:r>
                              <w:r w:rsidRPr="001C0F79">
                                <w:rPr>
                                  <w:rFonts w:ascii="Times New Roman" w:eastAsia="Times New Roman" w:hAnsi="Times New Roman" w:cs="Times New Roman"/>
                                  <w:sz w:val="24"/>
                                  <w:szCs w:val="24"/>
                                  <w:lang w:eastAsia="hr-HR"/>
                                </w:rPr>
                                <w:t xml:space="preserve"> iz Priloga I. Ugovora koji je predmet ulaganja u trenutku objave natječaja na e-savjetovanju (prije 30. rujna 2022. godine). Prihvatljivi korisnici su također i pravne i fizičke osobe </w:t>
                              </w:r>
                              <w:r w:rsidRPr="001C0F79">
                                <w:rPr>
                                  <w:rFonts w:ascii="Times New Roman" w:eastAsia="Times New Roman" w:hAnsi="Times New Roman" w:cs="Times New Roman"/>
                                  <w:b/>
                                  <w:bCs/>
                                  <w:sz w:val="24"/>
                                  <w:szCs w:val="24"/>
                                  <w:lang w:eastAsia="hr-HR"/>
                                </w:rPr>
                                <w:t>upisane u Upisnik poljoprivrednika</w:t>
                              </w:r>
                              <w:r w:rsidRPr="001C0F79">
                                <w:rPr>
                                  <w:rFonts w:ascii="Times New Roman" w:eastAsia="Times New Roman" w:hAnsi="Times New Roman" w:cs="Times New Roman"/>
                                  <w:sz w:val="24"/>
                                  <w:szCs w:val="24"/>
                                  <w:lang w:eastAsia="hr-HR"/>
                                </w:rPr>
                                <w:t xml:space="preserve"> najmanje godinu dana u trenutku objave natječaja na e-savjetovanju (upisani prije 30. rujna 2021. godine), pod uvjetom da najkasnije u trenutku podnošenja konačnog zahtjeva za isplatu budu registrirane za preradu pojoprivrednih proizvoda iz Priloga I. Ugovora.</w:t>
                              </w:r>
                              <w:r w:rsidRPr="001C0F79">
                                <w:rPr>
                                  <w:rFonts w:ascii="Times New Roman" w:eastAsia="Times New Roman" w:hAnsi="Times New Roman" w:cs="Times New Roman"/>
                                  <w:sz w:val="24"/>
                                  <w:szCs w:val="24"/>
                                  <w:lang w:eastAsia="hr-HR"/>
                                </w:rPr>
                                <w:br/>
                                <w:t> </w:t>
                              </w:r>
                              <w:r w:rsidRPr="001C0F79">
                                <w:rPr>
                                  <w:rFonts w:ascii="Times New Roman" w:eastAsia="Times New Roman" w:hAnsi="Times New Roman" w:cs="Times New Roman"/>
                                  <w:sz w:val="24"/>
                                  <w:szCs w:val="24"/>
                                  <w:lang w:eastAsia="hr-HR"/>
                                </w:rPr>
                                <w:br/>
                              </w:r>
                              <w:r w:rsidRPr="001C0F79">
                                <w:rPr>
                                  <w:rFonts w:ascii="Times New Roman" w:eastAsia="Times New Roman" w:hAnsi="Times New Roman" w:cs="Times New Roman"/>
                                  <w:b/>
                                  <w:bCs/>
                                  <w:sz w:val="24"/>
                                  <w:szCs w:val="24"/>
                                  <w:lang w:eastAsia="hr-HR"/>
                                </w:rPr>
                                <w:t>Razina i visina potpore</w:t>
                              </w:r>
                              <w:r w:rsidRPr="001C0F79">
                                <w:rPr>
                                  <w:rFonts w:ascii="Times New Roman" w:eastAsia="Times New Roman" w:hAnsi="Times New Roman" w:cs="Times New Roman"/>
                                  <w:sz w:val="24"/>
                                  <w:szCs w:val="24"/>
                                  <w:lang w:eastAsia="hr-HR"/>
                                </w:rPr>
                                <w:br/>
                              </w:r>
                              <w:r w:rsidRPr="001C0F79">
                                <w:rPr>
                                  <w:rFonts w:ascii="Times New Roman" w:eastAsia="Times New Roman" w:hAnsi="Times New Roman" w:cs="Times New Roman"/>
                                  <w:sz w:val="24"/>
                                  <w:szCs w:val="24"/>
                                  <w:lang w:eastAsia="hr-HR"/>
                                </w:rPr>
                                <w:br/>
                                <w:t>Ukupan iznos raspoloživih sredstava javne potpore po ovom natječaju je 200.000.000,00 HRK. Maksimalni iznos potpore po projektu je do:</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br/>
                                <w:t xml:space="preserve">a) </w:t>
                              </w:r>
                              <w:r w:rsidRPr="001C0F79">
                                <w:rPr>
                                  <w:rFonts w:ascii="Times New Roman" w:eastAsia="Times New Roman" w:hAnsi="Times New Roman" w:cs="Times New Roman"/>
                                  <w:b/>
                                  <w:bCs/>
                                  <w:sz w:val="24"/>
                                  <w:szCs w:val="24"/>
                                  <w:lang w:eastAsia="hr-HR"/>
                                </w:rPr>
                                <w:t>2.000.000 EUR</w:t>
                              </w:r>
                              <w:r w:rsidRPr="001C0F79">
                                <w:rPr>
                                  <w:rFonts w:ascii="Times New Roman" w:eastAsia="Times New Roman" w:hAnsi="Times New Roman" w:cs="Times New Roman"/>
                                  <w:sz w:val="24"/>
                                  <w:szCs w:val="24"/>
                                  <w:lang w:eastAsia="hr-HR"/>
                                </w:rPr>
                                <w:t xml:space="preserve"> </w:t>
                              </w:r>
                              <w:r w:rsidRPr="001C0F79">
                                <w:rPr>
                                  <w:rFonts w:ascii="Times New Roman" w:eastAsia="Times New Roman" w:hAnsi="Times New Roman" w:cs="Times New Roman"/>
                                  <w:sz w:val="24"/>
                                  <w:szCs w:val="24"/>
                                  <w:lang w:eastAsia="hr-HR"/>
                                </w:rPr>
                                <w:br/>
                                <w:t xml:space="preserve">b) </w:t>
                              </w:r>
                              <w:r w:rsidRPr="001C0F79">
                                <w:rPr>
                                  <w:rFonts w:ascii="Times New Roman" w:eastAsia="Times New Roman" w:hAnsi="Times New Roman" w:cs="Times New Roman"/>
                                  <w:b/>
                                  <w:bCs/>
                                  <w:sz w:val="24"/>
                                  <w:szCs w:val="24"/>
                                  <w:lang w:eastAsia="hr-HR"/>
                                </w:rPr>
                                <w:t>200.000 EUR</w:t>
                              </w:r>
                              <w:r w:rsidRPr="001C0F79">
                                <w:rPr>
                                  <w:rFonts w:ascii="Times New Roman" w:eastAsia="Times New Roman" w:hAnsi="Times New Roman" w:cs="Times New Roman"/>
                                  <w:sz w:val="24"/>
                                  <w:szCs w:val="24"/>
                                  <w:lang w:eastAsia="hr-HR"/>
                                </w:rPr>
                                <w:t xml:space="preserve"> za korisnike početnike, korisnike čiji je zbroj vrijednosti tri najveća godišnja prometa u razdoblju od pet godina koje prethode godini u kojoj je podnesen zahtjev za potporu manji od iznosa od 200.000 EUR, korisnike koji nisu u obvezi vođenja poslovnih knjiga, korisnike koji ne posjeduju financijsku dokumentaciju za prethodnu financijsku godinu, pri čemu vrijednost potpore za navedene tipove korisnika može biti veća od 200.000 EUR koju dokazuju obvezujućim pismom namjere banke koje se odnosi na vrijednost projekta u cijelosti</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br/>
                                <w:t xml:space="preserve">Razina potpore je do </w:t>
                              </w:r>
                              <w:r w:rsidRPr="001C0F79">
                                <w:rPr>
                                  <w:rFonts w:ascii="Times New Roman" w:eastAsia="Times New Roman" w:hAnsi="Times New Roman" w:cs="Times New Roman"/>
                                  <w:b/>
                                  <w:bCs/>
                                  <w:sz w:val="24"/>
                                  <w:szCs w:val="24"/>
                                  <w:lang w:eastAsia="hr-HR"/>
                                </w:rPr>
                                <w:t>50%</w:t>
                              </w:r>
                              <w:r w:rsidRPr="001C0F79">
                                <w:rPr>
                                  <w:rFonts w:ascii="Times New Roman" w:eastAsia="Times New Roman" w:hAnsi="Times New Roman" w:cs="Times New Roman"/>
                                  <w:sz w:val="24"/>
                                  <w:szCs w:val="24"/>
                                  <w:lang w:eastAsia="hr-HR"/>
                                </w:rPr>
                                <w:t xml:space="preserve"> od ukupno prihvatljivih troškova projekta. </w:t>
                              </w:r>
                              <w:r w:rsidRPr="001C0F79">
                                <w:rPr>
                                  <w:rFonts w:ascii="Times New Roman" w:eastAsia="Times New Roman" w:hAnsi="Times New Roman" w:cs="Times New Roman"/>
                                  <w:sz w:val="24"/>
                                  <w:szCs w:val="24"/>
                                  <w:lang w:eastAsia="hr-HR"/>
                                </w:rPr>
                                <w:br/>
                                <w:t> </w:t>
                              </w:r>
                              <w:r w:rsidRPr="001C0F79">
                                <w:rPr>
                                  <w:rFonts w:ascii="Times New Roman" w:eastAsia="Times New Roman" w:hAnsi="Times New Roman" w:cs="Times New Roman"/>
                                  <w:sz w:val="24"/>
                                  <w:szCs w:val="24"/>
                                  <w:lang w:eastAsia="hr-HR"/>
                                </w:rPr>
                                <w:br/>
                              </w:r>
                              <w:r w:rsidRPr="001C0F79">
                                <w:rPr>
                                  <w:rFonts w:ascii="Times New Roman" w:eastAsia="Times New Roman" w:hAnsi="Times New Roman" w:cs="Times New Roman"/>
                                  <w:b/>
                                  <w:bCs/>
                                  <w:sz w:val="24"/>
                                  <w:szCs w:val="24"/>
                                  <w:lang w:eastAsia="hr-HR"/>
                                </w:rPr>
                                <w:t>Prihvatljive aktivnosti i troškovi</w:t>
                              </w:r>
                              <w:r w:rsidRPr="001C0F79">
                                <w:rPr>
                                  <w:rFonts w:ascii="Times New Roman" w:eastAsia="Times New Roman" w:hAnsi="Times New Roman" w:cs="Times New Roman"/>
                                  <w:sz w:val="24"/>
                                  <w:szCs w:val="24"/>
                                  <w:lang w:eastAsia="hr-HR"/>
                                </w:rPr>
                                <w:br/>
                              </w:r>
                              <w:r w:rsidRPr="001C0F79">
                                <w:rPr>
                                  <w:rFonts w:ascii="Times New Roman" w:eastAsia="Times New Roman" w:hAnsi="Times New Roman" w:cs="Times New Roman"/>
                                  <w:sz w:val="24"/>
                                  <w:szCs w:val="24"/>
                                  <w:lang w:eastAsia="hr-HR"/>
                                </w:rPr>
                                <w:br/>
                                <w:t>Dozvoljene (prihvatljive) aktivnosti za ovu mjeru su:</w:t>
                              </w:r>
                            </w:p>
                            <w:p w:rsidR="001C0F79" w:rsidRPr="001C0F79" w:rsidRDefault="001C0F79" w:rsidP="001C0F79">
                              <w:pPr>
                                <w:numPr>
                                  <w:ilvl w:val="0"/>
                                  <w:numId w:val="2"/>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Objekti za preradu</w:t>
                              </w:r>
                              <w:r w:rsidRPr="001C0F79">
                                <w:rPr>
                                  <w:rFonts w:ascii="Times New Roman" w:eastAsia="Times New Roman" w:hAnsi="Times New Roman" w:cs="Times New Roman"/>
                                  <w:sz w:val="24"/>
                                  <w:szCs w:val="24"/>
                                  <w:lang w:eastAsia="hr-HR"/>
                                </w:rPr>
                                <w:t xml:space="preserve"> s pripadajućom unutarnjom i vanjskom infrastrukturom</w:t>
                              </w:r>
                            </w:p>
                            <w:p w:rsidR="001C0F79" w:rsidRPr="001C0F79" w:rsidRDefault="001C0F79" w:rsidP="001C0F79">
                              <w:pPr>
                                <w:numPr>
                                  <w:ilvl w:val="0"/>
                                  <w:numId w:val="2"/>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Strojevi i oprema</w:t>
                              </w:r>
                              <w:r w:rsidRPr="001C0F79">
                                <w:rPr>
                                  <w:rFonts w:ascii="Times New Roman" w:eastAsia="Times New Roman" w:hAnsi="Times New Roman" w:cs="Times New Roman"/>
                                  <w:sz w:val="24"/>
                                  <w:szCs w:val="24"/>
                                  <w:lang w:eastAsia="hr-HR"/>
                                </w:rPr>
                                <w:t xml:space="preserve"> za preradu i ostale postupke koji su u funkciji djelatnosti prerade</w:t>
                              </w:r>
                            </w:p>
                            <w:p w:rsidR="001C0F79" w:rsidRPr="001C0F79" w:rsidRDefault="001C0F79" w:rsidP="001C0F79">
                              <w:pPr>
                                <w:numPr>
                                  <w:ilvl w:val="0"/>
                                  <w:numId w:val="2"/>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xml:space="preserve">Objekti za </w:t>
                              </w:r>
                              <w:r w:rsidRPr="001C0F79">
                                <w:rPr>
                                  <w:rFonts w:ascii="Times New Roman" w:eastAsia="Times New Roman" w:hAnsi="Times New Roman" w:cs="Times New Roman"/>
                                  <w:b/>
                                  <w:bCs/>
                                  <w:sz w:val="24"/>
                                  <w:szCs w:val="24"/>
                                  <w:lang w:eastAsia="hr-HR"/>
                                </w:rPr>
                                <w:t>prodaju i prezentaciju</w:t>
                              </w:r>
                              <w:r w:rsidRPr="001C0F79">
                                <w:rPr>
                                  <w:rFonts w:ascii="Times New Roman" w:eastAsia="Times New Roman" w:hAnsi="Times New Roman" w:cs="Times New Roman"/>
                                  <w:sz w:val="24"/>
                                  <w:szCs w:val="24"/>
                                  <w:lang w:eastAsia="hr-HR"/>
                                </w:rPr>
                                <w:t xml:space="preserve"> vlastitih poljoprivrednih proizvoda</w:t>
                              </w:r>
                            </w:p>
                            <w:p w:rsidR="001C0F79" w:rsidRPr="001C0F79" w:rsidRDefault="001C0F79" w:rsidP="001C0F79">
                              <w:pPr>
                                <w:numPr>
                                  <w:ilvl w:val="0"/>
                                  <w:numId w:val="2"/>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xml:space="preserve">Objekti za obradu </w:t>
                              </w:r>
                              <w:r w:rsidRPr="001C0F79">
                                <w:rPr>
                                  <w:rFonts w:ascii="Times New Roman" w:eastAsia="Times New Roman" w:hAnsi="Times New Roman" w:cs="Times New Roman"/>
                                  <w:b/>
                                  <w:bCs/>
                                  <w:sz w:val="24"/>
                                  <w:szCs w:val="24"/>
                                  <w:lang w:eastAsia="hr-HR"/>
                                </w:rPr>
                                <w:t>otpadnih voda, filtriranje zraka i rashladne sustave</w:t>
                              </w:r>
                              <w:r w:rsidRPr="001C0F79">
                                <w:rPr>
                                  <w:rFonts w:ascii="Times New Roman" w:eastAsia="Times New Roman" w:hAnsi="Times New Roman" w:cs="Times New Roman"/>
                                  <w:sz w:val="24"/>
                                  <w:szCs w:val="24"/>
                                  <w:lang w:eastAsia="hr-HR"/>
                                </w:rPr>
                                <w:t xml:space="preserve"> s pripadajućom unutarnjom i vanjskom infrastrukturom</w:t>
                              </w:r>
                            </w:p>
                            <w:p w:rsidR="001C0F79" w:rsidRPr="001C0F79" w:rsidRDefault="001C0F79" w:rsidP="001C0F79">
                              <w:pPr>
                                <w:numPr>
                                  <w:ilvl w:val="0"/>
                                  <w:numId w:val="2"/>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xml:space="preserve">Ostali gospodarski objekti, </w:t>
                              </w:r>
                              <w:r w:rsidRPr="001C0F79">
                                <w:rPr>
                                  <w:rFonts w:ascii="Times New Roman" w:eastAsia="Times New Roman" w:hAnsi="Times New Roman" w:cs="Times New Roman"/>
                                  <w:b/>
                                  <w:bCs/>
                                  <w:sz w:val="24"/>
                                  <w:szCs w:val="24"/>
                                  <w:lang w:eastAsia="hr-HR"/>
                                </w:rPr>
                                <w:t>upravne prostorije</w:t>
                              </w:r>
                              <w:r w:rsidRPr="001C0F79">
                                <w:rPr>
                                  <w:rFonts w:ascii="Times New Roman" w:eastAsia="Times New Roman" w:hAnsi="Times New Roman" w:cs="Times New Roman"/>
                                  <w:sz w:val="24"/>
                                  <w:szCs w:val="24"/>
                                  <w:lang w:eastAsia="hr-HR"/>
                                </w:rPr>
                                <w:t xml:space="preserve"> s pripadajućim sadržajima, opremom i infrastrukturom koji su u funkciji djelatnosti prerade</w:t>
                              </w:r>
                            </w:p>
                            <w:p w:rsidR="001C0F79" w:rsidRPr="001C0F79" w:rsidRDefault="001C0F79" w:rsidP="001C0F79">
                              <w:pPr>
                                <w:numPr>
                                  <w:ilvl w:val="0"/>
                                  <w:numId w:val="2"/>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Gospodarska vozila</w:t>
                              </w:r>
                            </w:p>
                            <w:p w:rsidR="001C0F79" w:rsidRPr="001C0F79" w:rsidRDefault="001C0F79" w:rsidP="001C0F79">
                              <w:pPr>
                                <w:numPr>
                                  <w:ilvl w:val="0"/>
                                  <w:numId w:val="2"/>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Kupnja zemljišta i objekata</w:t>
                              </w:r>
                              <w:r w:rsidRPr="001C0F79">
                                <w:rPr>
                                  <w:rFonts w:ascii="Times New Roman" w:eastAsia="Times New Roman" w:hAnsi="Times New Roman" w:cs="Times New Roman"/>
                                  <w:sz w:val="24"/>
                                  <w:szCs w:val="24"/>
                                  <w:lang w:eastAsia="hr-HR"/>
                                </w:rPr>
                                <w:t>, do 10% vrijednosti ukupno prihvatljivih troškova</w:t>
                              </w:r>
                            </w:p>
                            <w:p w:rsidR="001C0F79" w:rsidRPr="001C0F79" w:rsidRDefault="001C0F79" w:rsidP="001C0F79">
                              <w:pPr>
                                <w:numPr>
                                  <w:ilvl w:val="0"/>
                                  <w:numId w:val="2"/>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Prilagodba novouvedenim standardima u skladu s člankom 17 Uredbe EU br. 1305/2013</w:t>
                              </w:r>
                            </w:p>
                            <w:p w:rsidR="001C0F79" w:rsidRPr="001C0F79" w:rsidRDefault="001C0F79" w:rsidP="001C0F79">
                              <w:pPr>
                                <w:numPr>
                                  <w:ilvl w:val="0"/>
                                  <w:numId w:val="2"/>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Opći troškovi</w:t>
                              </w:r>
                              <w:r w:rsidRPr="001C0F79">
                                <w:rPr>
                                  <w:rFonts w:ascii="Times New Roman" w:eastAsia="Times New Roman" w:hAnsi="Times New Roman" w:cs="Times New Roman"/>
                                  <w:sz w:val="24"/>
                                  <w:szCs w:val="24"/>
                                  <w:lang w:eastAsia="hr-HR"/>
                                </w:rPr>
                                <w:t xml:space="preserve"> pripreme poslovnog plana, troškovi pripreme dokumentacije, troškovi projektno – tehničke dokumentacije, geodetskih podloga, elaborata i trošak nadzora</w:t>
                              </w:r>
                            </w:p>
                            <w:p w:rsidR="001C0F79" w:rsidRPr="001C0F79" w:rsidRDefault="001C0F79" w:rsidP="001C0F79">
                              <w:pPr>
                                <w:numPr>
                                  <w:ilvl w:val="0"/>
                                  <w:numId w:val="2"/>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Nematerijalni troškovi</w:t>
                              </w:r>
                              <w:r w:rsidRPr="001C0F79">
                                <w:rPr>
                                  <w:rFonts w:ascii="Times New Roman" w:eastAsia="Times New Roman" w:hAnsi="Times New Roman" w:cs="Times New Roman"/>
                                  <w:sz w:val="24"/>
                                  <w:szCs w:val="24"/>
                                  <w:lang w:eastAsia="hr-HR"/>
                                </w:rPr>
                                <w:t xml:space="preserve"> – kupnja ili razvoj računalnih programa, kupnja prava na patente i licence, zaštita autorskih prava, registracija i održavanje žigova, ostali nematerijalni troškovi povezani s materijalnim ulaganjem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lastRenderedPageBreak/>
                                <w:t>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Prijave se podnose od 17. studenoga do 30. prosinca 2022. godine.</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xml:space="preserve">Više o natječaju možete pronaći </w:t>
                              </w:r>
                              <w:hyperlink r:id="rId7" w:tgtFrame="_blank" w:history="1">
                                <w:r w:rsidRPr="001C0F79">
                                  <w:rPr>
                                    <w:rFonts w:ascii="Times New Roman" w:eastAsia="Times New Roman" w:hAnsi="Times New Roman" w:cs="Times New Roman"/>
                                    <w:color w:val="0000FF"/>
                                    <w:sz w:val="24"/>
                                    <w:szCs w:val="24"/>
                                    <w:u w:val="single"/>
                                    <w:lang w:eastAsia="hr-HR"/>
                                  </w:rPr>
                                  <w:t>ovdje</w:t>
                                </w:r>
                              </w:hyperlink>
                              <w:r w:rsidRPr="001C0F79">
                                <w:rPr>
                                  <w:rFonts w:ascii="Times New Roman" w:eastAsia="Times New Roman" w:hAnsi="Times New Roman" w:cs="Times New Roman"/>
                                  <w:sz w:val="24"/>
                                  <w:szCs w:val="24"/>
                                  <w:lang w:eastAsia="hr-HR"/>
                                </w:rPr>
                                <w:t>. </w:t>
                              </w:r>
                            </w:p>
                          </w:tc>
                        </w:tr>
                      </w:tbl>
                      <w:tbl>
                        <w:tblPr>
                          <w:tblpPr w:leftFromText="180" w:rightFromText="180" w:vertAnchor="text" w:horzAnchor="page" w:tblpX="466" w:tblpY="10943"/>
                          <w:tblOverlap w:val="never"/>
                          <w:tblW w:w="0" w:type="auto"/>
                          <w:tblCellSpacing w:w="15" w:type="dxa"/>
                          <w:tblCellMar>
                            <w:top w:w="15" w:type="dxa"/>
                            <w:left w:w="15" w:type="dxa"/>
                            <w:bottom w:w="15" w:type="dxa"/>
                            <w:right w:w="15" w:type="dxa"/>
                          </w:tblCellMar>
                          <w:tblLook w:val="04A0"/>
                        </w:tblPr>
                        <w:tblGrid>
                          <w:gridCol w:w="96"/>
                        </w:tblGrid>
                        <w:tr w:rsidR="001C0F79" w:rsidRPr="001C0F79" w:rsidTr="001C0F79">
                          <w:trPr>
                            <w:tblCellSpacing w:w="15" w:type="dxa"/>
                          </w:trPr>
                          <w:tc>
                            <w:tcPr>
                              <w:tcW w:w="0" w:type="auto"/>
                              <w:vAlign w:val="center"/>
                              <w:hideMark/>
                            </w:tcPr>
                            <w:p w:rsidR="001C0F79" w:rsidRPr="001C0F79" w:rsidRDefault="001C0F79" w:rsidP="008D0C90">
                              <w:pPr>
                                <w:spacing w:after="0" w:line="240" w:lineRule="auto"/>
                                <w:rPr>
                                  <w:rFonts w:ascii="Times New Roman" w:eastAsia="Times New Roman" w:hAnsi="Times New Roman" w:cs="Times New Roman"/>
                                  <w:sz w:val="24"/>
                                  <w:szCs w:val="24"/>
                                  <w:lang w:eastAsia="hr-HR"/>
                                </w:rPr>
                              </w:pPr>
                            </w:p>
                          </w:tc>
                        </w:tr>
                      </w:tbl>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186"/>
                  </w:tblGrid>
                  <w:tr w:rsidR="001C0F79" w:rsidRPr="001C0F79">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96"/>
                        </w:tblGrid>
                        <w:tr w:rsidR="001C0F79" w:rsidRPr="001C0F79">
                          <w:trPr>
                            <w:tblCellSpacing w:w="15" w:type="dxa"/>
                            <w:jc w:val="center"/>
                          </w:trPr>
                          <w:tc>
                            <w:tcPr>
                              <w:tcW w:w="0" w:type="auto"/>
                              <w:vAlign w:val="center"/>
                              <w:hideMark/>
                            </w:tcPr>
                            <w:p w:rsidR="001C0F79" w:rsidRPr="001C0F79" w:rsidRDefault="001C0F79" w:rsidP="001C0F79">
                              <w:pPr>
                                <w:spacing w:after="0" w:line="240" w:lineRule="auto"/>
                                <w:rPr>
                                  <w:rFonts w:ascii="Times New Roman" w:eastAsia="Times New Roman" w:hAnsi="Times New Roman" w:cs="Times New Roman"/>
                                  <w:sz w:val="24"/>
                                  <w:szCs w:val="24"/>
                                  <w:lang w:eastAsia="hr-HR"/>
                                </w:rPr>
                              </w:pPr>
                            </w:p>
                          </w:tc>
                        </w:tr>
                      </w:tbl>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96"/>
                  </w:tblGrid>
                  <w:tr w:rsidR="001C0F79" w:rsidRPr="001C0F79">
                    <w:trPr>
                      <w:tblCellSpacing w:w="15" w:type="dxa"/>
                    </w:trPr>
                    <w:tc>
                      <w:tcPr>
                        <w:tcW w:w="0" w:type="auto"/>
                        <w:vAlign w:val="center"/>
                        <w:hideMark/>
                      </w:tcPr>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8983"/>
                  </w:tblGrid>
                  <w:tr w:rsidR="001C0F79" w:rsidRPr="001C0F79">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8893"/>
                        </w:tblGrid>
                        <w:tr w:rsidR="001C0F79" w:rsidRPr="001C0F79">
                          <w:trPr>
                            <w:tblCellSpacing w:w="15" w:type="dxa"/>
                            <w:jc w:val="center"/>
                          </w:trPr>
                          <w:tc>
                            <w:tcPr>
                              <w:tcW w:w="0" w:type="auto"/>
                              <w:vAlign w:val="center"/>
                              <w:hideMark/>
                            </w:tcPr>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4.2.2.‍ OBNOVLJIVI IZVORI ENERGIJE</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Prihvatljivi korisnici</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xml:space="preserve">Prihvatljivi korisnici bespovratnih potpora su pravne i fizičke osobe </w:t>
                              </w:r>
                              <w:r w:rsidRPr="001C0F79">
                                <w:rPr>
                                  <w:rFonts w:ascii="Times New Roman" w:eastAsia="Times New Roman" w:hAnsi="Times New Roman" w:cs="Times New Roman"/>
                                  <w:b/>
                                  <w:bCs/>
                                  <w:sz w:val="24"/>
                                  <w:szCs w:val="24"/>
                                  <w:lang w:eastAsia="hr-HR"/>
                                </w:rPr>
                                <w:t>registrirane za preradu poljoprivrednih proizvoda</w:t>
                              </w:r>
                              <w:r w:rsidRPr="001C0F79">
                                <w:rPr>
                                  <w:rFonts w:ascii="Times New Roman" w:eastAsia="Times New Roman" w:hAnsi="Times New Roman" w:cs="Times New Roman"/>
                                  <w:sz w:val="24"/>
                                  <w:szCs w:val="24"/>
                                  <w:lang w:eastAsia="hr-HR"/>
                                </w:rPr>
                                <w:t xml:space="preserve"> iz Priloga I. Ugovora koji je predmet ulaganja u trenutku objave natječaja na e-savjetovanju (prije 30. rujna 2022. godine). Prihvatljivi korisnici su također i pravne i fizičke osobe </w:t>
                              </w:r>
                              <w:r w:rsidRPr="001C0F79">
                                <w:rPr>
                                  <w:rFonts w:ascii="Times New Roman" w:eastAsia="Times New Roman" w:hAnsi="Times New Roman" w:cs="Times New Roman"/>
                                  <w:b/>
                                  <w:bCs/>
                                  <w:sz w:val="24"/>
                                  <w:szCs w:val="24"/>
                                  <w:lang w:eastAsia="hr-HR"/>
                                </w:rPr>
                                <w:t>upisane u Upisnik poljoprivrednika</w:t>
                              </w:r>
                              <w:r w:rsidRPr="001C0F79">
                                <w:rPr>
                                  <w:rFonts w:ascii="Times New Roman" w:eastAsia="Times New Roman" w:hAnsi="Times New Roman" w:cs="Times New Roman"/>
                                  <w:sz w:val="24"/>
                                  <w:szCs w:val="24"/>
                                  <w:lang w:eastAsia="hr-HR"/>
                                </w:rPr>
                                <w:t xml:space="preserve"> najmanje godinu dana u trenutku objave natječaja na e-savjetovanju (upisani prije 30. rujna 2021. godine), pod uvjetom da najkasnije u trenutku podnošenja konačnog zahtjeva za isplatu budu registrirane za preradu pojoprivrednih proizvoda iz Priloga I. Ugovora.</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Razina i visina potpore</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Ukupan iznos raspoloživih sredstava javne potpore po ovom natječaju je 70.000.000,00 HRK. Maksimalni iznos potpore po projektu je do:</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br/>
                                <w:t xml:space="preserve">a) </w:t>
                              </w:r>
                              <w:r w:rsidRPr="001C0F79">
                                <w:rPr>
                                  <w:rFonts w:ascii="Times New Roman" w:eastAsia="Times New Roman" w:hAnsi="Times New Roman" w:cs="Times New Roman"/>
                                  <w:b/>
                                  <w:bCs/>
                                  <w:sz w:val="24"/>
                                  <w:szCs w:val="24"/>
                                  <w:lang w:eastAsia="hr-HR"/>
                                </w:rPr>
                                <w:t>1.000.000 EUR</w:t>
                              </w:r>
                              <w:r w:rsidRPr="001C0F79">
                                <w:rPr>
                                  <w:rFonts w:ascii="Times New Roman" w:eastAsia="Times New Roman" w:hAnsi="Times New Roman" w:cs="Times New Roman"/>
                                  <w:sz w:val="24"/>
                                  <w:szCs w:val="24"/>
                                  <w:lang w:eastAsia="hr-HR"/>
                                </w:rPr>
                                <w:t xml:space="preserve"> </w:t>
                              </w:r>
                              <w:r w:rsidRPr="001C0F79">
                                <w:rPr>
                                  <w:rFonts w:ascii="Times New Roman" w:eastAsia="Times New Roman" w:hAnsi="Times New Roman" w:cs="Times New Roman"/>
                                  <w:sz w:val="24"/>
                                  <w:szCs w:val="24"/>
                                  <w:lang w:eastAsia="hr-HR"/>
                                </w:rPr>
                                <w:br/>
                                <w:t xml:space="preserve">b) </w:t>
                              </w:r>
                              <w:r w:rsidRPr="001C0F79">
                                <w:rPr>
                                  <w:rFonts w:ascii="Times New Roman" w:eastAsia="Times New Roman" w:hAnsi="Times New Roman" w:cs="Times New Roman"/>
                                  <w:b/>
                                  <w:bCs/>
                                  <w:sz w:val="24"/>
                                  <w:szCs w:val="24"/>
                                  <w:lang w:eastAsia="hr-HR"/>
                                </w:rPr>
                                <w:t>200.000 EUR</w:t>
                              </w:r>
                              <w:r w:rsidRPr="001C0F79">
                                <w:rPr>
                                  <w:rFonts w:ascii="Times New Roman" w:eastAsia="Times New Roman" w:hAnsi="Times New Roman" w:cs="Times New Roman"/>
                                  <w:sz w:val="24"/>
                                  <w:szCs w:val="24"/>
                                  <w:lang w:eastAsia="hr-HR"/>
                                </w:rPr>
                                <w:t xml:space="preserve"> za korisnike početnike, korisnike čiji je zbroj vrijednosti tri najveća godišnja prometa u razdoblju od pet godina koje prethode godini u kojoj je podnesen zahtjev za potporu manji od iznosa od 200.000 EUR, korisnike koji nisu u obvezi vođenja poslovnih knjiga, korisnike koji ne posjeduju financijsku dokumentaciju za prethodnu financijsku godinu, pri čemu vrijednost potpore za navedene tipove korisnika može biti veća od 200.000 EUR koju dokazuju obvezujućim pismom namjere banke koje se odnosi na vrijednost projekta u cijelosti</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br/>
                                <w:t xml:space="preserve">Razina potpore je do </w:t>
                              </w:r>
                              <w:r w:rsidRPr="001C0F79">
                                <w:rPr>
                                  <w:rFonts w:ascii="Times New Roman" w:eastAsia="Times New Roman" w:hAnsi="Times New Roman" w:cs="Times New Roman"/>
                                  <w:b/>
                                  <w:bCs/>
                                  <w:sz w:val="24"/>
                                  <w:szCs w:val="24"/>
                                  <w:lang w:eastAsia="hr-HR"/>
                                </w:rPr>
                                <w:t>50%</w:t>
                              </w:r>
                              <w:r w:rsidRPr="001C0F79">
                                <w:rPr>
                                  <w:rFonts w:ascii="Times New Roman" w:eastAsia="Times New Roman" w:hAnsi="Times New Roman" w:cs="Times New Roman"/>
                                  <w:sz w:val="24"/>
                                  <w:szCs w:val="24"/>
                                  <w:lang w:eastAsia="hr-HR"/>
                                </w:rPr>
                                <w:t xml:space="preserve"> od ukupno prihvatljivih troškova projekta.</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t> </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Prihvatljive aktivnosti i troškovi</w:t>
                              </w:r>
                              <w:r w:rsidRPr="001C0F79">
                                <w:rPr>
                                  <w:rFonts w:ascii="Times New Roman" w:eastAsia="Times New Roman" w:hAnsi="Times New Roman" w:cs="Times New Roman"/>
                                  <w:sz w:val="24"/>
                                  <w:szCs w:val="24"/>
                                  <w:lang w:eastAsia="hr-HR"/>
                                </w:rPr>
                                <w:br/>
                              </w:r>
                              <w:r w:rsidRPr="001C0F79">
                                <w:rPr>
                                  <w:rFonts w:ascii="Times New Roman" w:eastAsia="Times New Roman" w:hAnsi="Times New Roman" w:cs="Times New Roman"/>
                                  <w:sz w:val="24"/>
                                  <w:szCs w:val="24"/>
                                  <w:lang w:eastAsia="hr-HR"/>
                                </w:rPr>
                                <w:br/>
                                <w:t>Dozvoljene (prihvatljive) aktivnosti za ovu mjeru su:</w:t>
                              </w:r>
                            </w:p>
                            <w:p w:rsidR="001C0F79" w:rsidRPr="001C0F79" w:rsidRDefault="001C0F79" w:rsidP="001C0F79">
                              <w:pPr>
                                <w:numPr>
                                  <w:ilvl w:val="0"/>
                                  <w:numId w:val="3"/>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Objekti</w:t>
                              </w:r>
                              <w:r w:rsidRPr="001C0F79">
                                <w:rPr>
                                  <w:rFonts w:ascii="Times New Roman" w:eastAsia="Times New Roman" w:hAnsi="Times New Roman" w:cs="Times New Roman"/>
                                  <w:sz w:val="24"/>
                                  <w:szCs w:val="24"/>
                                  <w:lang w:eastAsia="hr-HR"/>
                                </w:rPr>
                                <w:t xml:space="preserve"> za prijem, obradu i skladištenje biomase za proizvodnju energije iz obnovljivih izvora energije s pripadajućom opremom i infrastrukturom</w:t>
                              </w:r>
                            </w:p>
                            <w:p w:rsidR="001C0F79" w:rsidRPr="001C0F79" w:rsidRDefault="001C0F79" w:rsidP="001C0F79">
                              <w:pPr>
                                <w:numPr>
                                  <w:ilvl w:val="0"/>
                                  <w:numId w:val="3"/>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Postrojenja za proizvodnju</w:t>
                              </w:r>
                              <w:r w:rsidRPr="001C0F79">
                                <w:rPr>
                                  <w:rFonts w:ascii="Times New Roman" w:eastAsia="Times New Roman" w:hAnsi="Times New Roman" w:cs="Times New Roman"/>
                                  <w:sz w:val="24"/>
                                  <w:szCs w:val="24"/>
                                  <w:lang w:eastAsia="hr-HR"/>
                                </w:rPr>
                                <w:t xml:space="preserve"> energije iz obnovljivih izvora energije (biomasa i sunce) za potrebe vlastitih proizvodnih pogona korisnika</w:t>
                              </w:r>
                            </w:p>
                            <w:p w:rsidR="001C0F79" w:rsidRPr="001C0F79" w:rsidRDefault="001C0F79" w:rsidP="001C0F79">
                              <w:pPr>
                                <w:numPr>
                                  <w:ilvl w:val="0"/>
                                  <w:numId w:val="3"/>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Opći troškovi</w:t>
                              </w:r>
                              <w:r w:rsidRPr="001C0F79">
                                <w:rPr>
                                  <w:rFonts w:ascii="Times New Roman" w:eastAsia="Times New Roman" w:hAnsi="Times New Roman" w:cs="Times New Roman"/>
                                  <w:sz w:val="24"/>
                                  <w:szCs w:val="24"/>
                                  <w:lang w:eastAsia="hr-HR"/>
                                </w:rPr>
                                <w:t xml:space="preserve"> pripreme poslovnog plana, troškovi pripreme dokumentacije, troškovi projektno – tehničke dokumentacije, geodetskih podloga, elaborata i trošak nadzora</w:t>
                              </w:r>
                            </w:p>
                            <w:p w:rsidR="001C0F79" w:rsidRPr="001C0F79" w:rsidRDefault="001C0F79" w:rsidP="001C0F79">
                              <w:pPr>
                                <w:numPr>
                                  <w:ilvl w:val="0"/>
                                  <w:numId w:val="3"/>
                                </w:num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t>Nematerijalni troškovi</w:t>
                              </w:r>
                              <w:r w:rsidRPr="001C0F79">
                                <w:rPr>
                                  <w:rFonts w:ascii="Times New Roman" w:eastAsia="Times New Roman" w:hAnsi="Times New Roman" w:cs="Times New Roman"/>
                                  <w:sz w:val="24"/>
                                  <w:szCs w:val="24"/>
                                  <w:lang w:eastAsia="hr-HR"/>
                                </w:rPr>
                                <w:t xml:space="preserve"> – kupnja ili razvoj računalnih programa, kupnja prava na patente i licence, zaštita autorskih prava, registracija i održavanje žigova, ostali nematerijalni troškovi povezani s materijalnim ulaganjem</w:t>
                              </w:r>
                            </w:p>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sz w:val="24"/>
                                  <w:szCs w:val="24"/>
                                  <w:lang w:eastAsia="hr-HR"/>
                                </w:rPr>
                                <w:br/>
                              </w:r>
                              <w:r w:rsidRPr="001C0F79">
                                <w:rPr>
                                  <w:rFonts w:ascii="Times New Roman" w:eastAsia="Times New Roman" w:hAnsi="Times New Roman" w:cs="Times New Roman"/>
                                  <w:b/>
                                  <w:bCs/>
                                  <w:sz w:val="24"/>
                                  <w:szCs w:val="24"/>
                                  <w:lang w:eastAsia="hr-HR"/>
                                </w:rPr>
                                <w:t>Prijave se podnose od 17. studenoga do 30. prosinca 2022. godine.</w:t>
                              </w:r>
                              <w:r w:rsidRPr="001C0F79">
                                <w:rPr>
                                  <w:rFonts w:ascii="Times New Roman" w:eastAsia="Times New Roman" w:hAnsi="Times New Roman" w:cs="Times New Roman"/>
                                  <w:sz w:val="24"/>
                                  <w:szCs w:val="24"/>
                                  <w:lang w:eastAsia="hr-HR"/>
                                </w:rPr>
                                <w:t xml:space="preserve"> </w:t>
                              </w:r>
                              <w:r w:rsidRPr="001C0F79">
                                <w:rPr>
                                  <w:rFonts w:ascii="Times New Roman" w:eastAsia="Times New Roman" w:hAnsi="Times New Roman" w:cs="Times New Roman"/>
                                  <w:sz w:val="24"/>
                                  <w:szCs w:val="24"/>
                                  <w:lang w:eastAsia="hr-HR"/>
                                </w:rPr>
                                <w:br/>
                              </w:r>
                              <w:r w:rsidRPr="001C0F79">
                                <w:rPr>
                                  <w:rFonts w:ascii="Times New Roman" w:eastAsia="Times New Roman" w:hAnsi="Times New Roman" w:cs="Times New Roman"/>
                                  <w:sz w:val="24"/>
                                  <w:szCs w:val="24"/>
                                  <w:lang w:eastAsia="hr-HR"/>
                                </w:rPr>
                                <w:br/>
                                <w:t xml:space="preserve">Više o natječaju možete pronaći </w:t>
                              </w:r>
                              <w:hyperlink r:id="rId8" w:tgtFrame="_blank" w:history="1">
                                <w:r w:rsidRPr="001C0F79">
                                  <w:rPr>
                                    <w:rFonts w:ascii="Times New Roman" w:eastAsia="Times New Roman" w:hAnsi="Times New Roman" w:cs="Times New Roman"/>
                                    <w:color w:val="0000FF"/>
                                    <w:sz w:val="24"/>
                                    <w:szCs w:val="24"/>
                                    <w:u w:val="single"/>
                                    <w:lang w:eastAsia="hr-HR"/>
                                  </w:rPr>
                                  <w:t>ovdje</w:t>
                                </w:r>
                              </w:hyperlink>
                              <w:r w:rsidRPr="001C0F79">
                                <w:rPr>
                                  <w:rFonts w:ascii="Times New Roman" w:eastAsia="Times New Roman" w:hAnsi="Times New Roman" w:cs="Times New Roman"/>
                                  <w:sz w:val="24"/>
                                  <w:szCs w:val="24"/>
                                  <w:lang w:eastAsia="hr-HR"/>
                                </w:rPr>
                                <w:t>.</w:t>
                              </w:r>
                              <w:r w:rsidRPr="001C0F79">
                                <w:rPr>
                                  <w:rFonts w:ascii="Times New Roman" w:eastAsia="Times New Roman" w:hAnsi="Times New Roman" w:cs="Times New Roman"/>
                                  <w:sz w:val="24"/>
                                  <w:szCs w:val="24"/>
                                  <w:lang w:eastAsia="hr-HR"/>
                                </w:rPr>
                                <w:br/>
                              </w:r>
                              <w:r w:rsidRPr="001C0F79">
                                <w:rPr>
                                  <w:rFonts w:ascii="Times New Roman" w:eastAsia="Times New Roman" w:hAnsi="Times New Roman" w:cs="Times New Roman"/>
                                  <w:sz w:val="24"/>
                                  <w:szCs w:val="24"/>
                                  <w:lang w:eastAsia="hr-HR"/>
                                </w:rPr>
                                <w:br/>
                                <w:t xml:space="preserve">Više informacija o ostalim natječajima možete pronaći </w:t>
                              </w:r>
                              <w:hyperlink r:id="rId9" w:tgtFrame="_blank" w:history="1">
                                <w:r w:rsidRPr="001C0F79">
                                  <w:rPr>
                                    <w:rFonts w:ascii="Times New Roman" w:eastAsia="Times New Roman" w:hAnsi="Times New Roman" w:cs="Times New Roman"/>
                                    <w:color w:val="0000FF"/>
                                    <w:sz w:val="24"/>
                                    <w:szCs w:val="24"/>
                                    <w:u w:val="single"/>
                                    <w:lang w:eastAsia="hr-HR"/>
                                  </w:rPr>
                                  <w:t>ovdje</w:t>
                                </w:r>
                              </w:hyperlink>
                              <w:r w:rsidRPr="001C0F79">
                                <w:rPr>
                                  <w:rFonts w:ascii="Times New Roman" w:eastAsia="Times New Roman" w:hAnsi="Times New Roman" w:cs="Times New Roman"/>
                                  <w:sz w:val="24"/>
                                  <w:szCs w:val="24"/>
                                  <w:lang w:eastAsia="hr-HR"/>
                                </w:rPr>
                                <w:t> </w:t>
                              </w:r>
                              <w:r w:rsidRPr="001C0F79">
                                <w:rPr>
                                  <w:rFonts w:ascii="Times New Roman" w:eastAsia="Times New Roman" w:hAnsi="Times New Roman" w:cs="Times New Roman"/>
                                  <w:sz w:val="24"/>
                                  <w:szCs w:val="24"/>
                                  <w:lang w:eastAsia="hr-HR"/>
                                </w:rPr>
                                <w:br/>
                                <w:t xml:space="preserve">Vaš tim EUfondovi.hr </w:t>
                              </w:r>
                            </w:p>
                          </w:tc>
                        </w:tr>
                      </w:tbl>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186"/>
                  </w:tblGrid>
                  <w:tr w:rsidR="001C0F79" w:rsidRPr="001C0F79">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96"/>
                        </w:tblGrid>
                        <w:tr w:rsidR="001C0F79" w:rsidRPr="001C0F79">
                          <w:trPr>
                            <w:tblCellSpacing w:w="15" w:type="dxa"/>
                            <w:jc w:val="center"/>
                          </w:trPr>
                          <w:tc>
                            <w:tcPr>
                              <w:tcW w:w="0" w:type="auto"/>
                              <w:vAlign w:val="center"/>
                              <w:hideMark/>
                            </w:tcPr>
                            <w:p w:rsidR="001C0F79" w:rsidRPr="001C0F79" w:rsidRDefault="001C0F79" w:rsidP="001C0F79">
                              <w:pPr>
                                <w:spacing w:after="0" w:line="240" w:lineRule="auto"/>
                                <w:rPr>
                                  <w:rFonts w:ascii="Times New Roman" w:eastAsia="Times New Roman" w:hAnsi="Times New Roman" w:cs="Times New Roman"/>
                                  <w:sz w:val="24"/>
                                  <w:szCs w:val="24"/>
                                  <w:lang w:eastAsia="hr-HR"/>
                                </w:rPr>
                              </w:pPr>
                            </w:p>
                          </w:tc>
                        </w:tr>
                      </w:tbl>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8587"/>
                  </w:tblGrid>
                  <w:tr w:rsidR="001C0F79" w:rsidRPr="001C0F79">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8497"/>
                        </w:tblGrid>
                        <w:tr w:rsidR="001C0F79" w:rsidRPr="001C0F79">
                          <w:trPr>
                            <w:tblCellSpacing w:w="15" w:type="dxa"/>
                            <w:jc w:val="center"/>
                          </w:trPr>
                          <w:tc>
                            <w:tcPr>
                              <w:tcW w:w="0" w:type="auto"/>
                              <w:vAlign w:val="center"/>
                              <w:hideMark/>
                            </w:tcPr>
                            <w:p w:rsidR="001C0F79" w:rsidRPr="001C0F79" w:rsidRDefault="001C0F79" w:rsidP="001C0F79">
                              <w:pPr>
                                <w:spacing w:after="0" w:line="240" w:lineRule="auto"/>
                                <w:rPr>
                                  <w:rFonts w:ascii="Times New Roman" w:eastAsia="Times New Roman" w:hAnsi="Times New Roman" w:cs="Times New Roman"/>
                                  <w:sz w:val="24"/>
                                  <w:szCs w:val="24"/>
                                  <w:lang w:eastAsia="hr-HR"/>
                                </w:rPr>
                              </w:pPr>
                              <w:r w:rsidRPr="001C0F79">
                                <w:rPr>
                                  <w:rFonts w:ascii="Times New Roman" w:eastAsia="Times New Roman" w:hAnsi="Times New Roman" w:cs="Times New Roman"/>
                                  <w:b/>
                                  <w:bCs/>
                                  <w:sz w:val="24"/>
                                  <w:szCs w:val="24"/>
                                  <w:lang w:eastAsia="hr-HR"/>
                                </w:rPr>
                                <w:lastRenderedPageBreak/>
                                <w:t xml:space="preserve">EU‍fondovi.hr - tel. +385 1 5806 307 email: upiti@eufondovi.hr - </w:t>
                              </w:r>
                              <w:hyperlink r:id="rId10" w:tgtFrame="_blank" w:history="1">
                                <w:r w:rsidRPr="001C0F79">
                                  <w:rPr>
                                    <w:rFonts w:ascii="Times New Roman" w:eastAsia="Times New Roman" w:hAnsi="Times New Roman" w:cs="Times New Roman"/>
                                    <w:color w:val="0000FF"/>
                                    <w:sz w:val="24"/>
                                    <w:szCs w:val="24"/>
                                    <w:u w:val="single"/>
                                    <w:lang w:eastAsia="hr-HR"/>
                                  </w:rPr>
                                  <w:t>www.eufondovi.hr</w:t>
                                </w:r>
                              </w:hyperlink>
                            </w:p>
                          </w:tc>
                        </w:tr>
                      </w:tbl>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96"/>
                  </w:tblGrid>
                  <w:tr w:rsidR="001C0F79" w:rsidRPr="001C0F79">
                    <w:trPr>
                      <w:tblCellSpacing w:w="15" w:type="dxa"/>
                    </w:trPr>
                    <w:tc>
                      <w:tcPr>
                        <w:tcW w:w="0" w:type="auto"/>
                        <w:vAlign w:val="center"/>
                        <w:hideMark/>
                      </w:tcPr>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96"/>
                  </w:tblGrid>
                  <w:tr w:rsidR="001C0F79" w:rsidRPr="001C0F79">
                    <w:trPr>
                      <w:trHeight w:val="975"/>
                      <w:tblCellSpacing w:w="15" w:type="dxa"/>
                    </w:trPr>
                    <w:tc>
                      <w:tcPr>
                        <w:tcW w:w="0" w:type="auto"/>
                        <w:vAlign w:val="center"/>
                        <w:hideMark/>
                      </w:tcPr>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96"/>
                  </w:tblGrid>
                  <w:tr w:rsidR="001C0F79" w:rsidRPr="001C0F79">
                    <w:trPr>
                      <w:tblCellSpacing w:w="15" w:type="dxa"/>
                    </w:trPr>
                    <w:tc>
                      <w:tcPr>
                        <w:tcW w:w="0" w:type="auto"/>
                        <w:vAlign w:val="center"/>
                        <w:hideMark/>
                      </w:tcPr>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186"/>
                  </w:tblGrid>
                  <w:tr w:rsidR="001C0F79" w:rsidRPr="001C0F79">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96"/>
                        </w:tblGrid>
                        <w:tr w:rsidR="001C0F79" w:rsidRPr="001C0F79">
                          <w:trPr>
                            <w:tblCellSpacing w:w="15" w:type="dxa"/>
                            <w:jc w:val="center"/>
                          </w:trPr>
                          <w:tc>
                            <w:tcPr>
                              <w:tcW w:w="0" w:type="auto"/>
                              <w:vAlign w:val="center"/>
                              <w:hideMark/>
                            </w:tcPr>
                            <w:p w:rsidR="001C0F79" w:rsidRPr="001C0F79" w:rsidRDefault="001C0F79" w:rsidP="001C0F79">
                              <w:pPr>
                                <w:spacing w:after="0" w:line="240" w:lineRule="auto"/>
                                <w:rPr>
                                  <w:rFonts w:ascii="Times New Roman" w:eastAsia="Times New Roman" w:hAnsi="Times New Roman" w:cs="Times New Roman"/>
                                  <w:sz w:val="24"/>
                                  <w:szCs w:val="24"/>
                                  <w:lang w:eastAsia="hr-HR"/>
                                </w:rPr>
                              </w:pPr>
                            </w:p>
                          </w:tc>
                        </w:tr>
                      </w:tbl>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186"/>
                  </w:tblGrid>
                  <w:tr w:rsidR="001C0F79" w:rsidRPr="001C0F79">
                    <w:trPr>
                      <w:tblCellSpacing w:w="15" w:type="dxa"/>
                    </w:trPr>
                    <w:tc>
                      <w:tcPr>
                        <w:tcW w:w="0" w:type="auto"/>
                        <w:vAlign w:val="center"/>
                        <w:hideMark/>
                      </w:tcPr>
                      <w:tbl>
                        <w:tblPr>
                          <w:tblW w:w="0" w:type="auto"/>
                          <w:jc w:val="center"/>
                          <w:tblCellSpacing w:w="15" w:type="dxa"/>
                          <w:tblCellMar>
                            <w:top w:w="15" w:type="dxa"/>
                            <w:left w:w="15" w:type="dxa"/>
                            <w:bottom w:w="15" w:type="dxa"/>
                            <w:right w:w="15" w:type="dxa"/>
                          </w:tblCellMar>
                          <w:tblLook w:val="04A0"/>
                        </w:tblPr>
                        <w:tblGrid>
                          <w:gridCol w:w="96"/>
                        </w:tblGrid>
                        <w:tr w:rsidR="001C0F79" w:rsidRPr="001C0F79">
                          <w:trPr>
                            <w:tblCellSpacing w:w="15" w:type="dxa"/>
                            <w:jc w:val="center"/>
                          </w:trPr>
                          <w:tc>
                            <w:tcPr>
                              <w:tcW w:w="0" w:type="auto"/>
                              <w:vAlign w:val="center"/>
                              <w:hideMark/>
                            </w:tcPr>
                            <w:p w:rsidR="001C0F79" w:rsidRPr="001C0F79" w:rsidRDefault="001C0F79" w:rsidP="001C0F79">
                              <w:pPr>
                                <w:spacing w:after="0" w:line="240" w:lineRule="auto"/>
                                <w:rPr>
                                  <w:rFonts w:ascii="Times New Roman" w:eastAsia="Times New Roman" w:hAnsi="Times New Roman" w:cs="Times New Roman"/>
                                  <w:sz w:val="24"/>
                                  <w:szCs w:val="24"/>
                                  <w:lang w:eastAsia="hr-HR"/>
                                </w:rPr>
                              </w:pPr>
                            </w:p>
                          </w:tc>
                        </w:tr>
                      </w:tbl>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tblPr>
                  <w:tblGrid>
                    <w:gridCol w:w="96"/>
                  </w:tblGrid>
                  <w:tr w:rsidR="001C0F79" w:rsidRPr="001C0F79">
                    <w:trPr>
                      <w:trHeight w:val="105"/>
                      <w:tblCellSpacing w:w="15" w:type="dxa"/>
                    </w:trPr>
                    <w:tc>
                      <w:tcPr>
                        <w:tcW w:w="0" w:type="auto"/>
                        <w:vAlign w:val="center"/>
                        <w:hideMark/>
                      </w:tcPr>
                      <w:p w:rsidR="001C0F79" w:rsidRPr="001C0F79" w:rsidRDefault="001C0F79" w:rsidP="001C0F79">
                        <w:pPr>
                          <w:spacing w:after="0" w:line="240" w:lineRule="auto"/>
                          <w:jc w:val="center"/>
                          <w:rPr>
                            <w:rFonts w:ascii="Times New Roman" w:eastAsia="Times New Roman" w:hAnsi="Times New Roman" w:cs="Times New Roman"/>
                            <w:b/>
                            <w:bCs/>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sz w:val="24"/>
                <w:szCs w:val="24"/>
                <w:lang w:eastAsia="hr-HR"/>
              </w:rPr>
            </w:pPr>
          </w:p>
        </w:tc>
      </w:tr>
    </w:tbl>
    <w:p w:rsidR="001C0F79" w:rsidRPr="001C0F79" w:rsidRDefault="001C0F79" w:rsidP="001C0F79">
      <w:pPr>
        <w:spacing w:after="0" w:line="240" w:lineRule="auto"/>
        <w:rPr>
          <w:rFonts w:ascii="Times New Roman" w:eastAsia="Times New Roman" w:hAnsi="Times New Roman" w:cs="Times New Roman"/>
          <w:sz w:val="24"/>
          <w:szCs w:val="24"/>
          <w:lang w:eastAsia="hr-HR"/>
        </w:rPr>
      </w:pPr>
    </w:p>
    <w:p w:rsidR="00E90A5A" w:rsidRDefault="00E90A5A" w:rsidP="001C0F79">
      <w:pPr>
        <w:spacing w:after="0" w:line="240" w:lineRule="auto"/>
      </w:pPr>
    </w:p>
    <w:sectPr w:rsidR="00E90A5A" w:rsidSect="00E90A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6ECB"/>
    <w:multiLevelType w:val="multilevel"/>
    <w:tmpl w:val="3FB4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864CA"/>
    <w:multiLevelType w:val="multilevel"/>
    <w:tmpl w:val="BBCC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BD17DA"/>
    <w:multiLevelType w:val="multilevel"/>
    <w:tmpl w:val="468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0F79"/>
    <w:rsid w:val="001C0F79"/>
    <w:rsid w:val="0056023F"/>
    <w:rsid w:val="00966C41"/>
    <w:rsid w:val="00E90A5A"/>
    <w:rsid w:val="00FA500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5A"/>
  </w:style>
  <w:style w:type="paragraph" w:styleId="Heading1">
    <w:name w:val="heading 1"/>
    <w:basedOn w:val="Normal"/>
    <w:link w:val="Heading1Char"/>
    <w:uiPriority w:val="9"/>
    <w:qFormat/>
    <w:rsid w:val="001C0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F79"/>
    <w:rPr>
      <w:rFonts w:ascii="Times New Roman" w:eastAsia="Times New Roman" w:hAnsi="Times New Roman" w:cs="Times New Roman"/>
      <w:b/>
      <w:bCs/>
      <w:kern w:val="36"/>
      <w:sz w:val="48"/>
      <w:szCs w:val="48"/>
      <w:lang w:eastAsia="hr-HR"/>
    </w:rPr>
  </w:style>
  <w:style w:type="paragraph" w:customStyle="1" w:styleId="acymwysidtinymce--text--placeholder">
    <w:name w:val="acym__wysid__tinymce--text--placeholder"/>
    <w:basedOn w:val="Normal"/>
    <w:rsid w:val="001C0F7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1C0F79"/>
    <w:rPr>
      <w:color w:val="0000FF"/>
      <w:u w:val="single"/>
    </w:rPr>
  </w:style>
  <w:style w:type="character" w:customStyle="1" w:styleId="acymunsubscribe">
    <w:name w:val="acym_unsubscribe"/>
    <w:basedOn w:val="DefaultParagraphFont"/>
    <w:rsid w:val="001C0F79"/>
  </w:style>
  <w:style w:type="character" w:customStyle="1" w:styleId="acymonline">
    <w:name w:val="acym_online"/>
    <w:basedOn w:val="DefaultParagraphFont"/>
    <w:rsid w:val="001C0F79"/>
  </w:style>
  <w:style w:type="character" w:styleId="Strong">
    <w:name w:val="Strong"/>
    <w:basedOn w:val="DefaultParagraphFont"/>
    <w:uiPriority w:val="22"/>
    <w:qFormat/>
    <w:rsid w:val="001C0F79"/>
    <w:rPr>
      <w:b/>
      <w:bCs/>
    </w:rPr>
  </w:style>
  <w:style w:type="paragraph" w:styleId="NormalWeb">
    <w:name w:val="Normal (Web)"/>
    <w:basedOn w:val="Normal"/>
    <w:uiPriority w:val="99"/>
    <w:unhideWhenUsed/>
    <w:rsid w:val="001C0F7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1414819220">
      <w:bodyDiv w:val="1"/>
      <w:marLeft w:val="0"/>
      <w:marRight w:val="0"/>
      <w:marTop w:val="0"/>
      <w:marBottom w:val="0"/>
      <w:divBdr>
        <w:top w:val="none" w:sz="0" w:space="0" w:color="auto"/>
        <w:left w:val="none" w:sz="0" w:space="0" w:color="auto"/>
        <w:bottom w:val="none" w:sz="0" w:space="0" w:color="auto"/>
        <w:right w:val="none" w:sz="0" w:space="0" w:color="auto"/>
      </w:divBdr>
      <w:divsChild>
        <w:div w:id="817577094">
          <w:marLeft w:val="0"/>
          <w:marRight w:val="0"/>
          <w:marTop w:val="0"/>
          <w:marBottom w:val="0"/>
          <w:divBdr>
            <w:top w:val="none" w:sz="0" w:space="0" w:color="auto"/>
            <w:left w:val="none" w:sz="0" w:space="0" w:color="auto"/>
            <w:bottom w:val="none" w:sz="0" w:space="0" w:color="auto"/>
            <w:right w:val="none" w:sz="0" w:space="0" w:color="auto"/>
          </w:divBdr>
        </w:div>
        <w:div w:id="200019324">
          <w:marLeft w:val="0"/>
          <w:marRight w:val="0"/>
          <w:marTop w:val="0"/>
          <w:marBottom w:val="0"/>
          <w:divBdr>
            <w:top w:val="none" w:sz="0" w:space="0" w:color="auto"/>
            <w:left w:val="none" w:sz="0" w:space="0" w:color="auto"/>
            <w:bottom w:val="none" w:sz="0" w:space="0" w:color="auto"/>
            <w:right w:val="none" w:sz="0" w:space="0" w:color="auto"/>
          </w:divBdr>
        </w:div>
        <w:div w:id="1207251740">
          <w:marLeft w:val="0"/>
          <w:marRight w:val="0"/>
          <w:marTop w:val="0"/>
          <w:marBottom w:val="0"/>
          <w:divBdr>
            <w:top w:val="none" w:sz="0" w:space="0" w:color="auto"/>
            <w:left w:val="none" w:sz="0" w:space="0" w:color="auto"/>
            <w:bottom w:val="none" w:sz="0" w:space="0" w:color="auto"/>
            <w:right w:val="none" w:sz="0" w:space="0" w:color="auto"/>
          </w:divBdr>
        </w:div>
        <w:div w:id="1068647745">
          <w:marLeft w:val="0"/>
          <w:marRight w:val="0"/>
          <w:marTop w:val="0"/>
          <w:marBottom w:val="0"/>
          <w:divBdr>
            <w:top w:val="none" w:sz="0" w:space="0" w:color="auto"/>
            <w:left w:val="none" w:sz="0" w:space="0" w:color="auto"/>
            <w:bottom w:val="none" w:sz="0" w:space="0" w:color="auto"/>
            <w:right w:val="none" w:sz="0" w:space="0" w:color="auto"/>
          </w:divBdr>
        </w:div>
        <w:div w:id="450444831">
          <w:marLeft w:val="0"/>
          <w:marRight w:val="0"/>
          <w:marTop w:val="0"/>
          <w:marBottom w:val="0"/>
          <w:divBdr>
            <w:top w:val="none" w:sz="0" w:space="0" w:color="auto"/>
            <w:left w:val="none" w:sz="0" w:space="0" w:color="auto"/>
            <w:bottom w:val="none" w:sz="0" w:space="0" w:color="auto"/>
            <w:right w:val="none" w:sz="0" w:space="0" w:color="auto"/>
          </w:divBdr>
          <w:divsChild>
            <w:div w:id="1591619328">
              <w:marLeft w:val="0"/>
              <w:marRight w:val="0"/>
              <w:marTop w:val="0"/>
              <w:marBottom w:val="0"/>
              <w:divBdr>
                <w:top w:val="none" w:sz="0" w:space="0" w:color="auto"/>
                <w:left w:val="none" w:sz="0" w:space="0" w:color="auto"/>
                <w:bottom w:val="none" w:sz="0" w:space="0" w:color="auto"/>
                <w:right w:val="none" w:sz="0" w:space="0" w:color="auto"/>
              </w:divBdr>
              <w:divsChild>
                <w:div w:id="1627394116">
                  <w:marLeft w:val="0"/>
                  <w:marRight w:val="0"/>
                  <w:marTop w:val="0"/>
                  <w:marBottom w:val="0"/>
                  <w:divBdr>
                    <w:top w:val="none" w:sz="0" w:space="0" w:color="auto"/>
                    <w:left w:val="none" w:sz="0" w:space="0" w:color="auto"/>
                    <w:bottom w:val="none" w:sz="0" w:space="0" w:color="auto"/>
                    <w:right w:val="none" w:sz="0" w:space="0" w:color="auto"/>
                  </w:divBdr>
                </w:div>
                <w:div w:id="41756302">
                  <w:marLeft w:val="0"/>
                  <w:marRight w:val="0"/>
                  <w:marTop w:val="0"/>
                  <w:marBottom w:val="0"/>
                  <w:divBdr>
                    <w:top w:val="none" w:sz="0" w:space="0" w:color="auto"/>
                    <w:left w:val="none" w:sz="0" w:space="0" w:color="auto"/>
                    <w:bottom w:val="none" w:sz="0" w:space="0" w:color="auto"/>
                    <w:right w:val="none" w:sz="0" w:space="0" w:color="auto"/>
                  </w:divBdr>
                </w:div>
                <w:div w:id="884559436">
                  <w:marLeft w:val="0"/>
                  <w:marRight w:val="0"/>
                  <w:marTop w:val="0"/>
                  <w:marBottom w:val="0"/>
                  <w:divBdr>
                    <w:top w:val="none" w:sz="0" w:space="0" w:color="auto"/>
                    <w:left w:val="none" w:sz="0" w:space="0" w:color="auto"/>
                    <w:bottom w:val="none" w:sz="0" w:space="0" w:color="auto"/>
                    <w:right w:val="none" w:sz="0" w:space="0" w:color="auto"/>
                  </w:divBdr>
                </w:div>
                <w:div w:id="1304575448">
                  <w:marLeft w:val="0"/>
                  <w:marRight w:val="0"/>
                  <w:marTop w:val="0"/>
                  <w:marBottom w:val="0"/>
                  <w:divBdr>
                    <w:top w:val="none" w:sz="0" w:space="0" w:color="auto"/>
                    <w:left w:val="none" w:sz="0" w:space="0" w:color="auto"/>
                    <w:bottom w:val="none" w:sz="0" w:space="0" w:color="auto"/>
                    <w:right w:val="none" w:sz="0" w:space="0" w:color="auto"/>
                  </w:divBdr>
                </w:div>
                <w:div w:id="432751531">
                  <w:marLeft w:val="0"/>
                  <w:marRight w:val="0"/>
                  <w:marTop w:val="0"/>
                  <w:marBottom w:val="0"/>
                  <w:divBdr>
                    <w:top w:val="none" w:sz="0" w:space="0" w:color="auto"/>
                    <w:left w:val="none" w:sz="0" w:space="0" w:color="auto"/>
                    <w:bottom w:val="none" w:sz="0" w:space="0" w:color="auto"/>
                    <w:right w:val="none" w:sz="0" w:space="0" w:color="auto"/>
                  </w:divBdr>
                </w:div>
                <w:div w:id="187455035">
                  <w:marLeft w:val="0"/>
                  <w:marRight w:val="0"/>
                  <w:marTop w:val="0"/>
                  <w:marBottom w:val="0"/>
                  <w:divBdr>
                    <w:top w:val="none" w:sz="0" w:space="0" w:color="auto"/>
                    <w:left w:val="none" w:sz="0" w:space="0" w:color="auto"/>
                    <w:bottom w:val="none" w:sz="0" w:space="0" w:color="auto"/>
                    <w:right w:val="none" w:sz="0" w:space="0" w:color="auto"/>
                  </w:divBdr>
                </w:div>
                <w:div w:id="531767026">
                  <w:marLeft w:val="0"/>
                  <w:marRight w:val="0"/>
                  <w:marTop w:val="0"/>
                  <w:marBottom w:val="0"/>
                  <w:divBdr>
                    <w:top w:val="none" w:sz="0" w:space="0" w:color="auto"/>
                    <w:left w:val="none" w:sz="0" w:space="0" w:color="auto"/>
                    <w:bottom w:val="none" w:sz="0" w:space="0" w:color="auto"/>
                    <w:right w:val="none" w:sz="0" w:space="0" w:color="auto"/>
                  </w:divBdr>
                  <w:divsChild>
                    <w:div w:id="712387337">
                      <w:marLeft w:val="0"/>
                      <w:marRight w:val="0"/>
                      <w:marTop w:val="0"/>
                      <w:marBottom w:val="0"/>
                      <w:divBdr>
                        <w:top w:val="none" w:sz="0" w:space="0" w:color="auto"/>
                        <w:left w:val="none" w:sz="0" w:space="0" w:color="auto"/>
                        <w:bottom w:val="none" w:sz="0" w:space="0" w:color="auto"/>
                        <w:right w:val="none" w:sz="0" w:space="0" w:color="auto"/>
                      </w:divBdr>
                    </w:div>
                  </w:divsChild>
                </w:div>
                <w:div w:id="1881477876">
                  <w:marLeft w:val="0"/>
                  <w:marRight w:val="0"/>
                  <w:marTop w:val="0"/>
                  <w:marBottom w:val="0"/>
                  <w:divBdr>
                    <w:top w:val="none" w:sz="0" w:space="0" w:color="auto"/>
                    <w:left w:val="none" w:sz="0" w:space="0" w:color="auto"/>
                    <w:bottom w:val="none" w:sz="0" w:space="0" w:color="auto"/>
                    <w:right w:val="none" w:sz="0" w:space="0" w:color="auto"/>
                  </w:divBdr>
                </w:div>
                <w:div w:id="785084427">
                  <w:marLeft w:val="0"/>
                  <w:marRight w:val="0"/>
                  <w:marTop w:val="0"/>
                  <w:marBottom w:val="0"/>
                  <w:divBdr>
                    <w:top w:val="none" w:sz="0" w:space="0" w:color="auto"/>
                    <w:left w:val="none" w:sz="0" w:space="0" w:color="auto"/>
                    <w:bottom w:val="none" w:sz="0" w:space="0" w:color="auto"/>
                    <w:right w:val="none" w:sz="0" w:space="0" w:color="auto"/>
                  </w:divBdr>
                </w:div>
                <w:div w:id="1569417396">
                  <w:marLeft w:val="0"/>
                  <w:marRight w:val="0"/>
                  <w:marTop w:val="0"/>
                  <w:marBottom w:val="0"/>
                  <w:divBdr>
                    <w:top w:val="none" w:sz="0" w:space="0" w:color="auto"/>
                    <w:left w:val="none" w:sz="0" w:space="0" w:color="auto"/>
                    <w:bottom w:val="none" w:sz="0" w:space="0" w:color="auto"/>
                    <w:right w:val="none" w:sz="0" w:space="0" w:color="auto"/>
                  </w:divBdr>
                </w:div>
                <w:div w:id="1814517981">
                  <w:marLeft w:val="0"/>
                  <w:marRight w:val="0"/>
                  <w:marTop w:val="0"/>
                  <w:marBottom w:val="0"/>
                  <w:divBdr>
                    <w:top w:val="none" w:sz="0" w:space="0" w:color="auto"/>
                    <w:left w:val="none" w:sz="0" w:space="0" w:color="auto"/>
                    <w:bottom w:val="none" w:sz="0" w:space="0" w:color="auto"/>
                    <w:right w:val="none" w:sz="0" w:space="0" w:color="auto"/>
                  </w:divBdr>
                </w:div>
                <w:div w:id="1253120963">
                  <w:marLeft w:val="0"/>
                  <w:marRight w:val="0"/>
                  <w:marTop w:val="0"/>
                  <w:marBottom w:val="0"/>
                  <w:divBdr>
                    <w:top w:val="none" w:sz="0" w:space="0" w:color="auto"/>
                    <w:left w:val="none" w:sz="0" w:space="0" w:color="auto"/>
                    <w:bottom w:val="none" w:sz="0" w:space="0" w:color="auto"/>
                    <w:right w:val="none" w:sz="0" w:space="0" w:color="auto"/>
                  </w:divBdr>
                </w:div>
                <w:div w:id="3144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fondovi.hr/index.php?option=com_acym&amp;ctrl=fronturl&amp;task=click&amp;urlid=18&amp;userid=36322&amp;mailid=373" TargetMode="External"/><Relationship Id="rId3" Type="http://schemas.openxmlformats.org/officeDocument/2006/relationships/settings" Target="settings.xml"/><Relationship Id="rId7" Type="http://schemas.openxmlformats.org/officeDocument/2006/relationships/hyperlink" Target="https://eufondovi.hr/index.php?option=com_acym&amp;ctrl=fronturl&amp;task=click&amp;urlid=16&amp;userid=36322&amp;mailid=3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fondovi.hr/index.php?option=com_acym&amp;ctrl=fronturl&amp;task=click&amp;urlid=14&amp;userid=36322&amp;mailid=373" TargetMode="External"/><Relationship Id="rId11" Type="http://schemas.openxmlformats.org/officeDocument/2006/relationships/fontTable" Target="fontTable.xml"/><Relationship Id="rId5" Type="http://schemas.openxmlformats.org/officeDocument/2006/relationships/hyperlink" Target="https://eufondovi.hr/component/acym/archive/373-tri-velika-natjecaja-za-poljoprivrednike-do-kraja-godine?userid=36322-FutIJglpfITEB2&amp;tmpl=component" TargetMode="External"/><Relationship Id="rId10" Type="http://schemas.openxmlformats.org/officeDocument/2006/relationships/hyperlink" Target="https://eufondovi.hr/index.php?option=com_acym&amp;ctrl=fronturl&amp;task=click&amp;urlid=9&amp;userid=36322&amp;mailid=373" TargetMode="External"/><Relationship Id="rId4" Type="http://schemas.openxmlformats.org/officeDocument/2006/relationships/webSettings" Target="webSettings.xml"/><Relationship Id="rId9" Type="http://schemas.openxmlformats.org/officeDocument/2006/relationships/hyperlink" Target="https://eufondovi.hr/index.php?option=com_acym&amp;ctrl=fronturl&amp;task=click&amp;urlid=6&amp;userid=36322&amp;mailid=37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1377</Words>
  <Characters>7850</Characters>
  <Application>Microsoft Office Word</Application>
  <DocSecurity>0</DocSecurity>
  <Lines>65</Lines>
  <Paragraphs>18</Paragraphs>
  <ScaleCrop>false</ScaleCrop>
  <Company>Grizli777</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2022-11-10T07:24:00Z</dcterms:created>
  <dcterms:modified xsi:type="dcterms:W3CDTF">2022-11-10T07:32:00Z</dcterms:modified>
</cp:coreProperties>
</file>