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072"/>
      </w:tblGrid>
      <w:tr w:rsidR="001C150B" w:rsidRPr="001C150B" w:rsidTr="001C150B">
        <w:tc>
          <w:tcPr>
            <w:tcW w:w="0" w:type="auto"/>
            <w:hideMark/>
          </w:tcPr>
          <w:tbl>
            <w:tblPr>
              <w:tblW w:w="5000" w:type="pct"/>
              <w:jc w:val="center"/>
              <w:shd w:val="clear" w:color="auto" w:fill="FFFFFF"/>
              <w:tblCellMar>
                <w:left w:w="0" w:type="dxa"/>
                <w:right w:w="0" w:type="dxa"/>
              </w:tblCellMar>
              <w:tblLook w:val="04A0"/>
            </w:tblPr>
            <w:tblGrid>
              <w:gridCol w:w="9072"/>
            </w:tblGrid>
            <w:tr w:rsidR="001C150B" w:rsidRPr="001C150B">
              <w:trPr>
                <w:jc w:val="center"/>
              </w:trPr>
              <w:tc>
                <w:tcPr>
                  <w:tcW w:w="0" w:type="auto"/>
                  <w:shd w:val="clear" w:color="auto" w:fill="FFFFFF"/>
                  <w:hideMark/>
                </w:tcPr>
                <w:tbl>
                  <w:tblPr>
                    <w:tblW w:w="9000" w:type="dxa"/>
                    <w:jc w:val="center"/>
                    <w:tblCellMar>
                      <w:left w:w="0" w:type="dxa"/>
                      <w:right w:w="0" w:type="dxa"/>
                    </w:tblCellMar>
                    <w:tblLook w:val="04A0"/>
                  </w:tblPr>
                  <w:tblGrid>
                    <w:gridCol w:w="9000"/>
                  </w:tblGrid>
                  <w:tr w:rsidR="001C150B" w:rsidRPr="001C150B">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tblPr>
                        <w:tblGrid>
                          <w:gridCol w:w="9000"/>
                        </w:tblGrid>
                        <w:tr w:rsidR="001C150B" w:rsidRPr="001C15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C150B" w:rsidRPr="001C150B">
                                <w:tc>
                                  <w:tcPr>
                                    <w:tcW w:w="0" w:type="auto"/>
                                    <w:tcMar>
                                      <w:top w:w="0" w:type="dxa"/>
                                      <w:left w:w="270" w:type="dxa"/>
                                      <w:bottom w:w="135" w:type="dxa"/>
                                      <w:right w:w="270" w:type="dxa"/>
                                    </w:tcMar>
                                    <w:hideMark/>
                                  </w:tcPr>
                                  <w:p w:rsidR="001C150B" w:rsidRPr="001C150B" w:rsidRDefault="001C150B" w:rsidP="001C150B">
                                    <w:pPr>
                                      <w:spacing w:before="240" w:after="240" w:line="360" w:lineRule="auto"/>
                                      <w:rPr>
                                        <w:rFonts w:ascii="Helvetica" w:eastAsia="Times New Roman" w:hAnsi="Helvetica" w:cs="Helvetica"/>
                                        <w:color w:val="606060"/>
                                        <w:sz w:val="23"/>
                                        <w:szCs w:val="23"/>
                                        <w:lang w:eastAsia="hr-HR"/>
                                      </w:rPr>
                                    </w:pPr>
                                    <w:r w:rsidRPr="001C150B">
                                      <w:rPr>
                                        <w:rFonts w:ascii="Helvetica" w:eastAsia="Times New Roman" w:hAnsi="Helvetica" w:cs="Helvetica"/>
                                        <w:color w:val="606060"/>
                                        <w:sz w:val="18"/>
                                        <w:szCs w:val="18"/>
                                        <w:lang w:eastAsia="hr-HR"/>
                                      </w:rPr>
                                      <w:t>Poštovani,</w:t>
                                    </w:r>
                                    <w:r w:rsidRPr="001C150B">
                                      <w:rPr>
                                        <w:rFonts w:ascii="Helvetica" w:eastAsia="Times New Roman" w:hAnsi="Helvetica" w:cs="Helvetica"/>
                                        <w:color w:val="606060"/>
                                        <w:sz w:val="18"/>
                                        <w:szCs w:val="18"/>
                                        <w:lang w:eastAsia="hr-HR"/>
                                      </w:rPr>
                                      <w:br/>
                                    </w:r>
                                    <w:r w:rsidRPr="001C150B">
                                      <w:rPr>
                                        <w:rFonts w:ascii="Helvetica" w:eastAsia="Times New Roman" w:hAnsi="Helvetica" w:cs="Helvetica"/>
                                        <w:color w:val="606060"/>
                                        <w:sz w:val="18"/>
                                        <w:szCs w:val="18"/>
                                        <w:lang w:eastAsia="hr-HR"/>
                                      </w:rPr>
                                      <w:br/>
                                      <w:t xml:space="preserve">Udruga Novi otok u sklopu projekta „Uči dalje“ financiranog iz Europskog socijalnog fonda, organizira </w:t>
                                    </w:r>
                                    <w:r w:rsidRPr="001C150B">
                                      <w:rPr>
                                        <w:rFonts w:ascii="Helvetica" w:eastAsia="Times New Roman" w:hAnsi="Helvetica" w:cs="Helvetica"/>
                                        <w:b/>
                                        <w:bCs/>
                                        <w:color w:val="606060"/>
                                        <w:sz w:val="18"/>
                                        <w:lang w:eastAsia="hr-HR"/>
                                      </w:rPr>
                                      <w:t>jednodnevnu radionicu na temu financiranja projekata sredstvima iz nacionalnih i EU fondova.</w:t>
                                    </w:r>
                                    <w:r w:rsidRPr="001C150B">
                                      <w:rPr>
                                        <w:rFonts w:ascii="Helvetica" w:eastAsia="Times New Roman" w:hAnsi="Helvetica" w:cs="Helvetica"/>
                                        <w:color w:val="606060"/>
                                        <w:sz w:val="18"/>
                                        <w:szCs w:val="18"/>
                                        <w:lang w:eastAsia="hr-HR"/>
                                      </w:rPr>
                                      <w:t xml:space="preserve"> Radionicu će voditi dugogodišnji stručnjaci u području pripreme i provedbe projekata koji će predstaviti planove i pravila za novo financijsko razdoblje.</w:t>
                                    </w:r>
                                    <w:r w:rsidRPr="001C150B">
                                      <w:rPr>
                                        <w:rFonts w:ascii="Helvetica" w:eastAsia="Times New Roman" w:hAnsi="Helvetica" w:cs="Helvetica"/>
                                        <w:color w:val="606060"/>
                                        <w:sz w:val="18"/>
                                        <w:szCs w:val="18"/>
                                        <w:lang w:eastAsia="hr-HR"/>
                                      </w:rPr>
                                      <w:br/>
                                      <w:t> </w:t>
                                    </w:r>
                                    <w:r w:rsidRPr="001C150B">
                                      <w:rPr>
                                        <w:rFonts w:ascii="Helvetica" w:eastAsia="Times New Roman" w:hAnsi="Helvetica" w:cs="Helvetica"/>
                                        <w:color w:val="606060"/>
                                        <w:sz w:val="18"/>
                                        <w:szCs w:val="18"/>
                                        <w:lang w:eastAsia="hr-HR"/>
                                      </w:rPr>
                                      <w:br/>
                                      <w:t>Sudjelovanje na radionici besplatno je i prvenstveno namijenjeno mladim nezaposlenim osobama s otoka Korčule koje žele saznati:</w:t>
                                    </w:r>
                                  </w:p>
                                  <w:p w:rsidR="001C150B" w:rsidRPr="001C150B" w:rsidRDefault="001C150B" w:rsidP="001C150B">
                                    <w:pPr>
                                      <w:numPr>
                                        <w:ilvl w:val="0"/>
                                        <w:numId w:val="1"/>
                                      </w:numPr>
                                      <w:spacing w:before="100" w:beforeAutospacing="1" w:after="100" w:afterAutospacing="1" w:line="360" w:lineRule="auto"/>
                                      <w:rPr>
                                        <w:rFonts w:ascii="Helvetica" w:eastAsia="Times New Roman" w:hAnsi="Helvetica" w:cs="Helvetica"/>
                                        <w:color w:val="0A0A0A"/>
                                        <w:sz w:val="18"/>
                                        <w:szCs w:val="18"/>
                                        <w:lang w:eastAsia="hr-HR"/>
                                      </w:rPr>
                                    </w:pPr>
                                    <w:r w:rsidRPr="001C150B">
                                      <w:rPr>
                                        <w:rFonts w:ascii="Helvetica" w:eastAsia="Times New Roman" w:hAnsi="Helvetica" w:cs="Helvetica"/>
                                        <w:color w:val="0A0A0A"/>
                                        <w:sz w:val="18"/>
                                        <w:szCs w:val="18"/>
                                        <w:lang w:eastAsia="hr-HR"/>
                                      </w:rPr>
                                      <w:t>što se može financirati kroz EU projekte i kako ih prijaviti,</w:t>
                                    </w:r>
                                  </w:p>
                                  <w:p w:rsidR="001C150B" w:rsidRPr="001C150B" w:rsidRDefault="001C150B" w:rsidP="001C150B">
                                    <w:pPr>
                                      <w:numPr>
                                        <w:ilvl w:val="0"/>
                                        <w:numId w:val="1"/>
                                      </w:numPr>
                                      <w:spacing w:before="100" w:beforeAutospacing="1" w:after="100" w:afterAutospacing="1" w:line="360" w:lineRule="auto"/>
                                      <w:rPr>
                                        <w:rFonts w:ascii="Helvetica" w:eastAsia="Times New Roman" w:hAnsi="Helvetica" w:cs="Helvetica"/>
                                        <w:color w:val="0A0A0A"/>
                                        <w:sz w:val="18"/>
                                        <w:szCs w:val="18"/>
                                        <w:lang w:eastAsia="hr-HR"/>
                                      </w:rPr>
                                    </w:pPr>
                                    <w:r w:rsidRPr="001C150B">
                                      <w:rPr>
                                        <w:rFonts w:ascii="Helvetica" w:eastAsia="Times New Roman" w:hAnsi="Helvetica" w:cs="Helvetica"/>
                                        <w:color w:val="0A0A0A"/>
                                        <w:sz w:val="18"/>
                                        <w:szCs w:val="18"/>
                                        <w:lang w:eastAsia="hr-HR"/>
                                      </w:rPr>
                                      <w:t>kako planirati financiranje projekata iz nacionalnih i EU fondova,</w:t>
                                    </w:r>
                                  </w:p>
                                  <w:p w:rsidR="001C150B" w:rsidRPr="001C150B" w:rsidRDefault="001C150B" w:rsidP="001C150B">
                                    <w:pPr>
                                      <w:numPr>
                                        <w:ilvl w:val="0"/>
                                        <w:numId w:val="1"/>
                                      </w:numPr>
                                      <w:spacing w:before="100" w:beforeAutospacing="1" w:after="100" w:afterAutospacing="1" w:line="360" w:lineRule="auto"/>
                                      <w:rPr>
                                        <w:rFonts w:ascii="Helvetica" w:eastAsia="Times New Roman" w:hAnsi="Helvetica" w:cs="Helvetica"/>
                                        <w:color w:val="0A0A0A"/>
                                        <w:sz w:val="18"/>
                                        <w:szCs w:val="18"/>
                                        <w:lang w:eastAsia="hr-HR"/>
                                      </w:rPr>
                                    </w:pPr>
                                    <w:r w:rsidRPr="001C150B">
                                      <w:rPr>
                                        <w:rFonts w:ascii="Helvetica" w:eastAsia="Times New Roman" w:hAnsi="Helvetica" w:cs="Helvetica"/>
                                        <w:color w:val="0A0A0A"/>
                                        <w:sz w:val="18"/>
                                        <w:szCs w:val="18"/>
                                        <w:lang w:eastAsia="hr-HR"/>
                                      </w:rPr>
                                      <w:t xml:space="preserve">koje su opcije financiranja projekata u novom financijskom razdoblju od 2021. do 2027. godine </w:t>
                                    </w:r>
                                  </w:p>
                                  <w:p w:rsidR="001C150B" w:rsidRPr="001C150B" w:rsidRDefault="001C150B" w:rsidP="001C150B">
                                    <w:pPr>
                                      <w:spacing w:before="240" w:after="240" w:line="360" w:lineRule="auto"/>
                                      <w:rPr>
                                        <w:rFonts w:ascii="Helvetica" w:eastAsia="Times New Roman" w:hAnsi="Helvetica" w:cs="Helvetica"/>
                                        <w:color w:val="606060"/>
                                        <w:sz w:val="23"/>
                                        <w:szCs w:val="23"/>
                                        <w:lang w:eastAsia="hr-HR"/>
                                      </w:rPr>
                                    </w:pPr>
                                    <w:r w:rsidRPr="001C150B">
                                      <w:rPr>
                                        <w:rFonts w:ascii="Helvetica" w:eastAsia="Times New Roman" w:hAnsi="Helvetica" w:cs="Helvetica"/>
                                        <w:color w:val="606060"/>
                                        <w:sz w:val="18"/>
                                        <w:szCs w:val="18"/>
                                        <w:lang w:eastAsia="hr-HR"/>
                                      </w:rPr>
                                      <w:t xml:space="preserve">Radionica će se održati </w:t>
                                    </w:r>
                                    <w:r w:rsidRPr="001C150B">
                                      <w:rPr>
                                        <w:rFonts w:ascii="Helvetica" w:eastAsia="Times New Roman" w:hAnsi="Helvetica" w:cs="Helvetica"/>
                                        <w:b/>
                                        <w:bCs/>
                                        <w:color w:val="606060"/>
                                        <w:sz w:val="18"/>
                                        <w:lang w:eastAsia="hr-HR"/>
                                      </w:rPr>
                                      <w:t>11. veljače 2021. (četvrtak) u terminu od 17:00 do 20:00</w:t>
                                    </w:r>
                                    <w:r w:rsidRPr="001C150B">
                                      <w:rPr>
                                        <w:rFonts w:ascii="Helvetica" w:eastAsia="Times New Roman" w:hAnsi="Helvetica" w:cs="Helvetica"/>
                                        <w:color w:val="606060"/>
                                        <w:sz w:val="18"/>
                                        <w:szCs w:val="18"/>
                                        <w:lang w:eastAsia="hr-HR"/>
                                      </w:rPr>
                                      <w:t>, putem online platforme ZOOM.</w:t>
                                    </w:r>
                                    <w:r w:rsidRPr="001C150B">
                                      <w:rPr>
                                        <w:rFonts w:ascii="Helvetica" w:eastAsia="Times New Roman" w:hAnsi="Helvetica" w:cs="Helvetica"/>
                                        <w:color w:val="606060"/>
                                        <w:sz w:val="18"/>
                                        <w:szCs w:val="18"/>
                                        <w:lang w:eastAsia="hr-HR"/>
                                      </w:rPr>
                                      <w:br/>
                                    </w:r>
                                    <w:r w:rsidRPr="001C150B">
                                      <w:rPr>
                                        <w:rFonts w:ascii="Helvetica" w:eastAsia="Times New Roman" w:hAnsi="Helvetica" w:cs="Helvetica"/>
                                        <w:color w:val="606060"/>
                                        <w:sz w:val="18"/>
                                        <w:szCs w:val="18"/>
                                        <w:lang w:eastAsia="hr-HR"/>
                                      </w:rPr>
                                      <w:br/>
                                      <w:t xml:space="preserve">Zainteresirani za radionicu mogu se prijaviti putem ovoga </w:t>
                                    </w:r>
                                    <w:hyperlink r:id="rId5" w:tgtFrame="_blank" w:history="1">
                                      <w:r w:rsidRPr="001C150B">
                                        <w:rPr>
                                          <w:rFonts w:ascii="Helvetica" w:eastAsia="Times New Roman" w:hAnsi="Helvetica" w:cs="Helvetica"/>
                                          <w:color w:val="6DC6DD"/>
                                          <w:sz w:val="18"/>
                                          <w:u w:val="single"/>
                                          <w:lang w:eastAsia="hr-HR"/>
                                        </w:rPr>
                                        <w:t>linka</w:t>
                                      </w:r>
                                    </w:hyperlink>
                                    <w:r w:rsidRPr="001C150B">
                                      <w:rPr>
                                        <w:rFonts w:ascii="Helvetica" w:eastAsia="Times New Roman" w:hAnsi="Helvetica" w:cs="Helvetica"/>
                                        <w:color w:val="606060"/>
                                        <w:sz w:val="18"/>
                                        <w:szCs w:val="18"/>
                                        <w:lang w:eastAsia="hr-HR"/>
                                      </w:rPr>
                                      <w:t>. </w:t>
                                    </w:r>
                                    <w:r w:rsidRPr="001C150B">
                                      <w:rPr>
                                        <w:rFonts w:ascii="Helvetica" w:eastAsia="Times New Roman" w:hAnsi="Helvetica" w:cs="Helvetica"/>
                                        <w:color w:val="606060"/>
                                        <w:sz w:val="18"/>
                                        <w:szCs w:val="18"/>
                                        <w:lang w:eastAsia="hr-HR"/>
                                      </w:rPr>
                                      <w:br/>
                                    </w:r>
                                    <w:r w:rsidRPr="001C150B">
                                      <w:rPr>
                                        <w:rFonts w:ascii="Helvetica" w:eastAsia="Times New Roman" w:hAnsi="Helvetica" w:cs="Helvetica"/>
                                        <w:color w:val="606060"/>
                                        <w:sz w:val="18"/>
                                        <w:szCs w:val="18"/>
                                        <w:lang w:eastAsia="hr-HR"/>
                                      </w:rPr>
                                      <w:br/>
                                    </w:r>
                                    <w:r w:rsidRPr="001C150B">
                                      <w:rPr>
                                        <w:rFonts w:ascii="Helvetica" w:eastAsia="Times New Roman" w:hAnsi="Helvetica" w:cs="Helvetica"/>
                                        <w:color w:val="606060"/>
                                        <w:sz w:val="18"/>
                                        <w:szCs w:val="18"/>
                                        <w:u w:val="single"/>
                                        <w:lang w:eastAsia="hr-HR"/>
                                      </w:rPr>
                                      <w:t>Prijave su otvorene do 9 veljače 2021.</w:t>
                                    </w:r>
                                    <w:r w:rsidRPr="001C150B">
                                      <w:rPr>
                                        <w:rFonts w:ascii="Helvetica" w:eastAsia="Times New Roman" w:hAnsi="Helvetica" w:cs="Helvetica"/>
                                        <w:color w:val="606060"/>
                                        <w:sz w:val="18"/>
                                        <w:szCs w:val="18"/>
                                        <w:lang w:eastAsia="hr-HR"/>
                                      </w:rPr>
                                      <w:t> </w:t>
                                    </w:r>
                                    <w:r w:rsidRPr="001C150B">
                                      <w:rPr>
                                        <w:rFonts w:ascii="Helvetica" w:eastAsia="Times New Roman" w:hAnsi="Helvetica" w:cs="Helvetica"/>
                                        <w:color w:val="606060"/>
                                        <w:sz w:val="18"/>
                                        <w:szCs w:val="18"/>
                                        <w:lang w:eastAsia="hr-HR"/>
                                      </w:rPr>
                                      <w:br/>
                                      <w:t>Broj prijava je ograničen zbog zadnjeg dijela radionice kada će sudionici moći postavljati pitanja, te saznati primjerice jesu li njihove ideje prihvatljive za EU financiranje.</w:t>
                                    </w:r>
                                    <w:r w:rsidRPr="001C150B">
                                      <w:rPr>
                                        <w:rFonts w:ascii="Helvetica" w:eastAsia="Times New Roman" w:hAnsi="Helvetica" w:cs="Helvetica"/>
                                        <w:color w:val="606060"/>
                                        <w:sz w:val="18"/>
                                        <w:szCs w:val="18"/>
                                        <w:lang w:eastAsia="hr-HR"/>
                                      </w:rPr>
                                      <w:br/>
                                      <w:t> </w:t>
                                    </w:r>
                                    <w:r w:rsidRPr="001C150B">
                                      <w:rPr>
                                        <w:rFonts w:ascii="Helvetica" w:eastAsia="Times New Roman" w:hAnsi="Helvetica" w:cs="Helvetica"/>
                                        <w:color w:val="606060"/>
                                        <w:sz w:val="18"/>
                                        <w:szCs w:val="18"/>
                                        <w:lang w:eastAsia="hr-HR"/>
                                      </w:rPr>
                                      <w:br/>
                                    </w:r>
                                    <w:hyperlink r:id="rId6" w:history="1">
                                      <w:r w:rsidRPr="001C150B">
                                        <w:rPr>
                                          <w:rFonts w:ascii="Helvetica" w:eastAsia="Times New Roman" w:hAnsi="Helvetica" w:cs="Helvetica"/>
                                          <w:color w:val="6DC6DD"/>
                                          <w:sz w:val="18"/>
                                          <w:u w:val="single"/>
                                          <w:lang w:eastAsia="hr-HR"/>
                                        </w:rPr>
                                        <w:t>Projekt „Uči dalje!“</w:t>
                                      </w:r>
                                    </w:hyperlink>
                                    <w:r w:rsidRPr="001C150B">
                                      <w:rPr>
                                        <w:rFonts w:ascii="Helvetica" w:eastAsia="Times New Roman" w:hAnsi="Helvetica" w:cs="Helvetica"/>
                                        <w:color w:val="606060"/>
                                        <w:sz w:val="18"/>
                                        <w:szCs w:val="18"/>
                                        <w:lang w:eastAsia="hr-HR"/>
                                      </w:rPr>
                                      <w:t xml:space="preserve"> namijenjen je osposobljavanju nezaposlenih mladih s otoka Korčule za poduzetništvo u kulturi, s naglaskom na stjecanje znanja i razvoj ideja, koja će im olakšati zapošljavanje ili pokretanje vlastitog posla. Projekt vodi udruga Novi otok iz Vela Luke, u partnerstvu sa LAG-om 5 i Sveučilištem u Dubrovniku. Financiran je u cijelosti iz Europskog socijalnog fonda, operativnog programa „Učinkoviti ljudski potencijali 2014.–2020.“ za dvogodišnju provedbu do 26. ožujka 2021. godine. Svrha projekta je povećavanje zapošljavanja mladih osoba koje aktivno traže posao na otoku Korčuli i na razini Dubrovačko-neretvanske županije.</w:t>
                                    </w:r>
                                    <w:r w:rsidRPr="001C150B">
                                      <w:rPr>
                                        <w:rFonts w:ascii="Helvetica" w:eastAsia="Times New Roman" w:hAnsi="Helvetica" w:cs="Helvetica"/>
                                        <w:color w:val="606060"/>
                                        <w:sz w:val="18"/>
                                        <w:szCs w:val="18"/>
                                        <w:lang w:eastAsia="hr-HR"/>
                                      </w:rPr>
                                      <w:br/>
                                    </w:r>
                                    <w:r w:rsidRPr="001C150B">
                                      <w:rPr>
                                        <w:rFonts w:ascii="Helvetica" w:eastAsia="Times New Roman" w:hAnsi="Helvetica" w:cs="Helvetica"/>
                                        <w:color w:val="606060"/>
                                        <w:sz w:val="18"/>
                                        <w:szCs w:val="18"/>
                                        <w:lang w:eastAsia="hr-HR"/>
                                      </w:rPr>
                                      <w:br/>
                                      <w:t>S poštovanjem,</w:t>
                                    </w:r>
                                  </w:p>
                                </w:tc>
                              </w:tr>
                            </w:tbl>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jc w:val="center"/>
                    <w:rPr>
                      <w:rFonts w:eastAsia="Times New Roman" w:cs="Times New Roman"/>
                      <w:lang w:eastAsia="hr-HR"/>
                    </w:rPr>
                  </w:pPr>
                </w:p>
              </w:tc>
            </w:tr>
          </w:tbl>
          <w:p w:rsidR="001C150B" w:rsidRPr="001C150B" w:rsidRDefault="001C150B" w:rsidP="001C150B">
            <w:pPr>
              <w:spacing w:after="0" w:line="240" w:lineRule="auto"/>
              <w:jc w:val="center"/>
              <w:rPr>
                <w:rFonts w:eastAsia="Times New Roman" w:cs="Times New Roman"/>
                <w:lang w:eastAsia="hr-HR"/>
              </w:rPr>
            </w:pPr>
          </w:p>
        </w:tc>
      </w:tr>
      <w:tr w:rsidR="001C150B" w:rsidRPr="001C150B" w:rsidTr="001C150B">
        <w:tc>
          <w:tcPr>
            <w:tcW w:w="0" w:type="auto"/>
            <w:hideMark/>
          </w:tcPr>
          <w:tbl>
            <w:tblPr>
              <w:tblW w:w="5000" w:type="pct"/>
              <w:jc w:val="center"/>
              <w:shd w:val="clear" w:color="auto" w:fill="FFFFFF"/>
              <w:tblCellMar>
                <w:left w:w="0" w:type="dxa"/>
                <w:right w:w="0" w:type="dxa"/>
              </w:tblCellMar>
              <w:tblLook w:val="04A0"/>
            </w:tblPr>
            <w:tblGrid>
              <w:gridCol w:w="9072"/>
            </w:tblGrid>
            <w:tr w:rsidR="001C150B" w:rsidRPr="001C150B">
              <w:trPr>
                <w:jc w:val="center"/>
              </w:trPr>
              <w:tc>
                <w:tcPr>
                  <w:tcW w:w="0" w:type="auto"/>
                  <w:shd w:val="clear" w:color="auto" w:fill="FFFFFF"/>
                  <w:hideMark/>
                </w:tcPr>
                <w:tbl>
                  <w:tblPr>
                    <w:tblW w:w="9000" w:type="dxa"/>
                    <w:jc w:val="center"/>
                    <w:tblCellMar>
                      <w:left w:w="0" w:type="dxa"/>
                      <w:right w:w="0" w:type="dxa"/>
                    </w:tblCellMar>
                    <w:tblLook w:val="04A0"/>
                  </w:tblPr>
                  <w:tblGrid>
                    <w:gridCol w:w="9000"/>
                  </w:tblGrid>
                  <w:tr w:rsidR="001C150B" w:rsidRPr="001C150B">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tblPr>
                        <w:tblGrid>
                          <w:gridCol w:w="9000"/>
                        </w:tblGrid>
                        <w:tr w:rsidR="001C150B" w:rsidRPr="001C15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C150B" w:rsidRPr="001C150B">
                                <w:tc>
                                  <w:tcPr>
                                    <w:tcW w:w="0" w:type="auto"/>
                                    <w:tcMar>
                                      <w:top w:w="0" w:type="dxa"/>
                                      <w:left w:w="270" w:type="dxa"/>
                                      <w:bottom w:w="135" w:type="dxa"/>
                                      <w:right w:w="270" w:type="dxa"/>
                                    </w:tcMar>
                                    <w:hideMark/>
                                  </w:tcPr>
                                  <w:p w:rsidR="001C150B" w:rsidRPr="001C150B" w:rsidRDefault="001C150B" w:rsidP="001C150B">
                                    <w:pPr>
                                      <w:spacing w:before="240" w:after="240" w:line="360" w:lineRule="auto"/>
                                      <w:jc w:val="both"/>
                                      <w:rPr>
                                        <w:rFonts w:ascii="Helvetica" w:eastAsia="Times New Roman" w:hAnsi="Helvetica" w:cs="Helvetica"/>
                                        <w:color w:val="606060"/>
                                        <w:sz w:val="23"/>
                                        <w:szCs w:val="23"/>
                                        <w:lang w:eastAsia="hr-HR"/>
                                      </w:rPr>
                                    </w:pPr>
                                    <w:r w:rsidRPr="001C150B">
                                      <w:rPr>
                                        <w:rFonts w:ascii="Helvetica" w:eastAsia="Times New Roman" w:hAnsi="Helvetica" w:cs="Helvetica"/>
                                        <w:color w:val="606060"/>
                                        <w:sz w:val="18"/>
                                        <w:szCs w:val="18"/>
                                        <w:lang w:eastAsia="hr-HR"/>
                                      </w:rPr>
                                      <w:t>Lokalna akcijska grupa ''LAG 5''</w:t>
                                    </w:r>
                                    <w:r w:rsidRPr="001C150B">
                                      <w:rPr>
                                        <w:rFonts w:ascii="Helvetica" w:eastAsia="Times New Roman" w:hAnsi="Helvetica" w:cs="Helvetica"/>
                                        <w:color w:val="606060"/>
                                        <w:sz w:val="18"/>
                                        <w:szCs w:val="18"/>
                                        <w:lang w:eastAsia="hr-HR"/>
                                      </w:rPr>
                                      <w:br/>
                                      <w:t>Trg sv. Justine 13, 20260 Korčula</w:t>
                                    </w:r>
                                    <w:r w:rsidRPr="001C150B">
                                      <w:rPr>
                                        <w:rFonts w:ascii="Helvetica" w:eastAsia="Times New Roman" w:hAnsi="Helvetica" w:cs="Helvetica"/>
                                        <w:color w:val="606060"/>
                                        <w:sz w:val="18"/>
                                        <w:szCs w:val="18"/>
                                        <w:lang w:eastAsia="hr-HR"/>
                                      </w:rPr>
                                      <w:br/>
                                      <w:t>tel. +38520713472</w:t>
                                    </w:r>
                                  </w:p>
                                </w:tc>
                              </w:tr>
                            </w:tbl>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rPr>
                            <w:rFonts w:eastAsia="Times New Roman" w:cs="Times New Roman"/>
                            <w:vanish/>
                            <w:lang w:eastAsia="hr-HR"/>
                          </w:rPr>
                        </w:pPr>
                      </w:p>
                      <w:tbl>
                        <w:tblPr>
                          <w:tblW w:w="5000" w:type="pct"/>
                          <w:tblCellMar>
                            <w:left w:w="0" w:type="dxa"/>
                            <w:right w:w="0" w:type="dxa"/>
                          </w:tblCellMar>
                          <w:tblLook w:val="04A0"/>
                        </w:tblPr>
                        <w:tblGrid>
                          <w:gridCol w:w="9000"/>
                        </w:tblGrid>
                        <w:tr w:rsidR="001C150B" w:rsidRPr="001C150B">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8730"/>
                              </w:tblGrid>
                              <w:tr w:rsidR="001C150B" w:rsidRPr="001C150B">
                                <w:trPr>
                                  <w:jc w:val="center"/>
                                </w:trPr>
                                <w:tc>
                                  <w:tcPr>
                                    <w:tcW w:w="0" w:type="auto"/>
                                    <w:tcMar>
                                      <w:top w:w="0" w:type="dxa"/>
                                      <w:left w:w="135" w:type="dxa"/>
                                      <w:bottom w:w="0" w:type="dxa"/>
                                      <w:right w:w="135" w:type="dxa"/>
                                    </w:tcMar>
                                    <w:vAlign w:val="center"/>
                                    <w:hideMark/>
                                  </w:tcPr>
                                  <w:tbl>
                                    <w:tblPr>
                                      <w:tblW w:w="5000" w:type="pct"/>
                                      <w:tblCellMar>
                                        <w:left w:w="0" w:type="dxa"/>
                                        <w:right w:w="0" w:type="dxa"/>
                                      </w:tblCellMar>
                                      <w:tblLook w:val="04A0"/>
                                    </w:tblPr>
                                    <w:tblGrid>
                                      <w:gridCol w:w="8460"/>
                                    </w:tblGrid>
                                    <w:tr w:rsidR="001C150B" w:rsidRPr="001C150B">
                                      <w:tc>
                                        <w:tcPr>
                                          <w:tcW w:w="0" w:type="auto"/>
                                          <w:tcMar>
                                            <w:top w:w="135" w:type="dxa"/>
                                            <w:left w:w="135" w:type="dxa"/>
                                            <w:bottom w:w="0" w:type="dxa"/>
                                            <w:right w:w="135" w:type="dxa"/>
                                          </w:tcMar>
                                          <w:hideMark/>
                                        </w:tcPr>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jc w:val="center"/>
                                <w:rPr>
                                  <w:rFonts w:eastAsia="Times New Roman" w:cs="Times New Roman"/>
                                  <w:lang w:eastAsia="hr-HR"/>
                                </w:rPr>
                              </w:pPr>
                            </w:p>
                          </w:tc>
                        </w:tr>
                      </w:tbl>
                      <w:p w:rsidR="001C150B" w:rsidRPr="001C150B" w:rsidRDefault="001C150B" w:rsidP="001C150B">
                        <w:pPr>
                          <w:spacing w:after="0" w:line="240" w:lineRule="auto"/>
                          <w:rPr>
                            <w:rFonts w:eastAsia="Times New Roman" w:cs="Times New Roman"/>
                            <w:lang w:eastAsia="hr-HR"/>
                          </w:rPr>
                        </w:pPr>
                      </w:p>
                    </w:tc>
                  </w:tr>
                </w:tbl>
                <w:p w:rsidR="001C150B" w:rsidRPr="001C150B" w:rsidRDefault="001C150B" w:rsidP="001C150B">
                  <w:pPr>
                    <w:spacing w:after="0" w:line="240" w:lineRule="auto"/>
                    <w:jc w:val="center"/>
                    <w:rPr>
                      <w:rFonts w:eastAsia="Times New Roman" w:cs="Times New Roman"/>
                      <w:lang w:eastAsia="hr-HR"/>
                    </w:rPr>
                  </w:pPr>
                </w:p>
              </w:tc>
            </w:tr>
          </w:tbl>
          <w:p w:rsidR="001C150B" w:rsidRPr="001C150B" w:rsidRDefault="001C150B" w:rsidP="001C150B">
            <w:pPr>
              <w:spacing w:after="0" w:line="240" w:lineRule="auto"/>
              <w:jc w:val="center"/>
              <w:rPr>
                <w:rFonts w:eastAsia="Times New Roman" w:cs="Times New Roman"/>
                <w:lang w:eastAsia="hr-HR"/>
              </w:rPr>
            </w:pPr>
          </w:p>
        </w:tc>
      </w:tr>
    </w:tbl>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9647B"/>
    <w:multiLevelType w:val="multilevel"/>
    <w:tmpl w:val="26C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150B"/>
    <w:rsid w:val="000D4A4D"/>
    <w:rsid w:val="001129D4"/>
    <w:rsid w:val="0016534E"/>
    <w:rsid w:val="001C150B"/>
    <w:rsid w:val="00325C9F"/>
    <w:rsid w:val="00723511"/>
    <w:rsid w:val="00824ACF"/>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50B"/>
    <w:pPr>
      <w:spacing w:before="100" w:beforeAutospacing="1" w:after="100" w:afterAutospacing="1" w:line="240" w:lineRule="auto"/>
    </w:pPr>
    <w:rPr>
      <w:rFonts w:eastAsia="Times New Roman" w:cs="Times New Roman"/>
      <w:lang w:eastAsia="hr-HR"/>
    </w:rPr>
  </w:style>
  <w:style w:type="character" w:styleId="Strong">
    <w:name w:val="Strong"/>
    <w:basedOn w:val="DefaultParagraphFont"/>
    <w:uiPriority w:val="22"/>
    <w:qFormat/>
    <w:rsid w:val="001C150B"/>
    <w:rPr>
      <w:b/>
      <w:bCs/>
    </w:rPr>
  </w:style>
  <w:style w:type="character" w:styleId="Hyperlink">
    <w:name w:val="Hyperlink"/>
    <w:basedOn w:val="DefaultParagraphFont"/>
    <w:uiPriority w:val="99"/>
    <w:semiHidden/>
    <w:unhideWhenUsed/>
    <w:rsid w:val="001C150B"/>
    <w:rPr>
      <w:color w:val="0000FF"/>
      <w:u w:val="single"/>
    </w:rPr>
  </w:style>
</w:styles>
</file>

<file path=word/webSettings.xml><?xml version="1.0" encoding="utf-8"?>
<w:webSettings xmlns:r="http://schemas.openxmlformats.org/officeDocument/2006/relationships" xmlns:w="http://schemas.openxmlformats.org/wordprocessingml/2006/main">
  <w:divs>
    <w:div w:id="1925608117">
      <w:bodyDiv w:val="1"/>
      <w:marLeft w:val="0"/>
      <w:marRight w:val="0"/>
      <w:marTop w:val="0"/>
      <w:marBottom w:val="0"/>
      <w:divBdr>
        <w:top w:val="none" w:sz="0" w:space="0" w:color="auto"/>
        <w:left w:val="none" w:sz="0" w:space="0" w:color="auto"/>
        <w:bottom w:val="none" w:sz="0" w:space="0" w:color="auto"/>
        <w:right w:val="none" w:sz="0" w:space="0" w:color="auto"/>
      </w:divBdr>
      <w:divsChild>
        <w:div w:id="174109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g5.us3.list-manage.com/track/click?u=c2ea6255e95561e2901ff0074&amp;id=adb1a65246&amp;e=adb01ff26c" TargetMode="External"/><Relationship Id="rId5" Type="http://schemas.openxmlformats.org/officeDocument/2006/relationships/hyperlink" Target="https://lag5.us3.list-manage.com/track/click?u=c2ea6255e95561e2901ff0074&amp;id=950f440d09&amp;e=adb01ff26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Company>Grizli777</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2021-02-04T09:58:00Z</dcterms:created>
  <dcterms:modified xsi:type="dcterms:W3CDTF">2021-02-04T09:59:00Z</dcterms:modified>
</cp:coreProperties>
</file>