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9162"/>
      </w:tblGrid>
      <w:tr w:rsidR="001D4631" w:rsidRPr="001D4631" w:rsidTr="001D463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072"/>
            </w:tblGrid>
            <w:tr w:rsidR="001D4631" w:rsidRPr="001D4631">
              <w:trPr>
                <w:tblCellSpacing w:w="15" w:type="dxa"/>
              </w:trPr>
              <w:tc>
                <w:tcPr>
                  <w:tcW w:w="0" w:type="auto"/>
                  <w:vAlign w:val="center"/>
                  <w:hideMark/>
                </w:tcPr>
                <w:p w:rsidR="001D4631" w:rsidRPr="001D4631" w:rsidRDefault="001D4631" w:rsidP="001D4631">
                  <w:pPr>
                    <w:spacing w:after="0" w:line="240" w:lineRule="auto"/>
                    <w:rPr>
                      <w:rFonts w:ascii="Times New Roman" w:eastAsia="Times New Roman" w:hAnsi="Times New Roman" w:cs="Times New Roman"/>
                      <w:sz w:val="24"/>
                      <w:szCs w:val="24"/>
                      <w:lang w:eastAsia="hr-HR"/>
                    </w:rPr>
                  </w:pPr>
                </w:p>
              </w:tc>
            </w:tr>
            <w:tr w:rsidR="001D4631" w:rsidRPr="001D463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982"/>
                  </w:tblGrid>
                  <w:tr w:rsidR="001D4631" w:rsidRPr="001D4631">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tblPr>
                        <w:tblGrid>
                          <w:gridCol w:w="9000"/>
                        </w:tblGrid>
                        <w:tr w:rsidR="001D4631" w:rsidRPr="001D463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910"/>
                              </w:tblGrid>
                              <w:tr w:rsidR="001D4631" w:rsidRPr="001D463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820"/>
                                    </w:tblGrid>
                                    <w:tr w:rsidR="001D4631" w:rsidRPr="001D4631">
                                      <w:trPr>
                                        <w:tblCellSpacing w:w="15" w:type="dxa"/>
                                      </w:trPr>
                                      <w:tc>
                                        <w:tcPr>
                                          <w:tcW w:w="0" w:type="auto"/>
                                          <w:vAlign w:val="center"/>
                                          <w:hideMark/>
                                        </w:tcPr>
                                        <w:p w:rsidR="001D4631" w:rsidRPr="001D4631" w:rsidRDefault="001D4631" w:rsidP="001D4631">
                                          <w:pPr>
                                            <w:spacing w:before="100" w:beforeAutospacing="1" w:after="100" w:afterAutospacing="1" w:line="240" w:lineRule="auto"/>
                                            <w:rPr>
                                              <w:rFonts w:ascii="Times New Roman" w:eastAsia="Times New Roman" w:hAnsi="Times New Roman" w:cs="Times New Roman"/>
                                              <w:sz w:val="24"/>
                                              <w:szCs w:val="24"/>
                                              <w:lang w:eastAsia="hr-HR"/>
                                            </w:rPr>
                                          </w:pPr>
                                          <w:r w:rsidRPr="001D4631">
                                            <w:rPr>
                                              <w:rFonts w:ascii="Times New Roman" w:eastAsia="Times New Roman" w:hAnsi="Times New Roman" w:cs="Times New Roman"/>
                                              <w:sz w:val="24"/>
                                              <w:szCs w:val="24"/>
                                              <w:lang w:eastAsia="hr-HR"/>
                                            </w:rPr>
                                            <w:t>Poštovani/poštovana,</w:t>
                                          </w:r>
                                          <w:r w:rsidRPr="001D4631">
                                            <w:rPr>
                                              <w:rFonts w:ascii="Times New Roman" w:eastAsia="Times New Roman" w:hAnsi="Times New Roman" w:cs="Times New Roman"/>
                                              <w:sz w:val="24"/>
                                              <w:szCs w:val="24"/>
                                              <w:lang w:eastAsia="hr-HR"/>
                                            </w:rPr>
                                            <w:br/>
                                          </w:r>
                                          <w:r w:rsidRPr="001D4631">
                                            <w:rPr>
                                              <w:rFonts w:ascii="Times New Roman" w:eastAsia="Times New Roman" w:hAnsi="Times New Roman" w:cs="Times New Roman"/>
                                              <w:sz w:val="24"/>
                                              <w:szCs w:val="24"/>
                                              <w:lang w:eastAsia="hr-HR"/>
                                            </w:rPr>
                                            <w:br/>
                                            <w:t xml:space="preserve">obavještavamo Vas da je Agencija za plaćanja u poljoprivredi, ribarstvu i ruralnom razvoju također objavila dva natječaja za provedbu mjere 22 </w:t>
                                          </w:r>
                                          <w:r w:rsidRPr="001D4631">
                                            <w:rPr>
                                              <w:rFonts w:ascii="Times New Roman" w:eastAsia="Times New Roman" w:hAnsi="Times New Roman" w:cs="Times New Roman"/>
                                              <w:b/>
                                              <w:bCs/>
                                              <w:sz w:val="24"/>
                                              <w:szCs w:val="24"/>
                                              <w:lang w:eastAsia="hr-HR"/>
                                            </w:rPr>
                                            <w:t xml:space="preserve">„Izvanredna privremena potpora poljoprivrednicima i MSP-ovima koji su posebno pogođeni učinkom ruske invazije na Ukrajinu“ </w:t>
                                          </w:r>
                                          <w:r w:rsidRPr="001D4631">
                                            <w:rPr>
                                              <w:rFonts w:ascii="Times New Roman" w:eastAsia="Times New Roman" w:hAnsi="Times New Roman" w:cs="Times New Roman"/>
                                              <w:sz w:val="24"/>
                                              <w:szCs w:val="24"/>
                                              <w:lang w:eastAsia="hr-HR"/>
                                            </w:rPr>
                                            <w:t>iz Programa ruralnog razvoja Republike Hrvatske za razdoblje 2014. – 2020.</w:t>
                                          </w:r>
                                          <w:r w:rsidRPr="001D4631">
                                            <w:rPr>
                                              <w:rFonts w:ascii="Times New Roman" w:eastAsia="Times New Roman" w:hAnsi="Times New Roman" w:cs="Times New Roman"/>
                                              <w:sz w:val="24"/>
                                              <w:szCs w:val="24"/>
                                              <w:lang w:eastAsia="hr-HR"/>
                                            </w:rPr>
                                            <w:br/>
                                          </w:r>
                                          <w:r w:rsidRPr="001D4631">
                                            <w:rPr>
                                              <w:rFonts w:ascii="Times New Roman" w:eastAsia="Times New Roman" w:hAnsi="Times New Roman" w:cs="Times New Roman"/>
                                              <w:sz w:val="24"/>
                                              <w:szCs w:val="24"/>
                                              <w:lang w:eastAsia="hr-HR"/>
                                            </w:rPr>
                                            <w:br/>
                                            <w:t>Ukupni iznos potpore raspoloživ kroz ove natječaje je 31.853.474,02 eura, s ciljem ublažavanja posljedica učinaka ruske invazije na Ukrajinu te osiguravanja likvidnosti s kojim se suočavaju poljoprivrednici te mikro, mala i srednja poduzeća koja se bave preradom, plasiranjem na tržište i razvojem poljoprivrednih proizvoda.</w:t>
                                          </w:r>
                                          <w:r w:rsidRPr="001D4631">
                                            <w:rPr>
                                              <w:rFonts w:ascii="Times New Roman" w:eastAsia="Times New Roman" w:hAnsi="Times New Roman" w:cs="Times New Roman"/>
                                              <w:sz w:val="24"/>
                                              <w:szCs w:val="24"/>
                                              <w:lang w:eastAsia="hr-HR"/>
                                            </w:rPr>
                                            <w:br/>
                                            <w:t> </w:t>
                                          </w:r>
                                        </w:p>
                                        <w:p w:rsidR="001D4631" w:rsidRPr="001D4631" w:rsidRDefault="001D4631" w:rsidP="001D4631">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1D4631">
                                            <w:rPr>
                                              <w:rFonts w:ascii="Times New Roman" w:eastAsia="Times New Roman" w:hAnsi="Times New Roman" w:cs="Times New Roman"/>
                                              <w:b/>
                                              <w:bCs/>
                                              <w:sz w:val="24"/>
                                              <w:szCs w:val="24"/>
                                              <w:lang w:eastAsia="hr-HR"/>
                                            </w:rPr>
                                            <w:t>Natječaj za poljoprivrednike</w:t>
                                          </w:r>
                                          <w:r w:rsidRPr="001D4631">
                                            <w:rPr>
                                              <w:rFonts w:ascii="Times New Roman" w:eastAsia="Times New Roman" w:hAnsi="Times New Roman" w:cs="Times New Roman"/>
                                              <w:sz w:val="24"/>
                                              <w:szCs w:val="24"/>
                                              <w:lang w:eastAsia="hr-HR"/>
                                            </w:rPr>
                                            <w:t xml:space="preserve"> gdje su prihvatljivi korisnici poljoprivredna gospodarstva ekonomske veličine poljoprivrednog gospodarstva &gt; 3.000 EUR SO, upisana u Upisnik poljoprivrednika najkasnije do 1. siječnja 2021. koji sudjeluju u:</w:t>
                                          </w:r>
                                        </w:p>
                                        <w:p w:rsidR="001D4631" w:rsidRPr="001D4631" w:rsidRDefault="001D4631" w:rsidP="001D4631">
                                          <w:pPr>
                                            <w:spacing w:before="100" w:beforeAutospacing="1" w:after="100" w:afterAutospacing="1" w:line="240" w:lineRule="auto"/>
                                            <w:rPr>
                                              <w:rFonts w:ascii="Times New Roman" w:eastAsia="Times New Roman" w:hAnsi="Times New Roman" w:cs="Times New Roman"/>
                                              <w:sz w:val="24"/>
                                              <w:szCs w:val="24"/>
                                              <w:lang w:eastAsia="hr-HR"/>
                                            </w:rPr>
                                          </w:pPr>
                                          <w:r w:rsidRPr="001D4631">
                                            <w:rPr>
                                              <w:rFonts w:ascii="Times New Roman" w:eastAsia="Times New Roman" w:hAnsi="Times New Roman" w:cs="Times New Roman"/>
                                              <w:sz w:val="24"/>
                                              <w:szCs w:val="24"/>
                                              <w:lang w:eastAsia="hr-HR"/>
                                            </w:rPr>
                                            <w:t>a) podmjeri 10.1. „Agro-okoliš” Programa u 2022. godini i/ili</w:t>
                                          </w:r>
                                          <w:r w:rsidRPr="001D4631">
                                            <w:rPr>
                                              <w:rFonts w:ascii="Times New Roman" w:eastAsia="Times New Roman" w:hAnsi="Times New Roman" w:cs="Times New Roman"/>
                                              <w:sz w:val="24"/>
                                              <w:szCs w:val="24"/>
                                              <w:lang w:eastAsia="hr-HR"/>
                                            </w:rPr>
                                            <w:br/>
                                            <w:t>b) mjeri 11 „Ekološka proizvodnja” Programa u 2022. godini.</w:t>
                                          </w:r>
                                          <w:r w:rsidRPr="001D4631">
                                            <w:rPr>
                                              <w:rFonts w:ascii="Times New Roman" w:eastAsia="Times New Roman" w:hAnsi="Times New Roman" w:cs="Times New Roman"/>
                                              <w:sz w:val="24"/>
                                              <w:szCs w:val="24"/>
                                              <w:lang w:eastAsia="hr-HR"/>
                                            </w:rPr>
                                            <w:br/>
                                          </w:r>
                                          <w:r w:rsidRPr="001D4631">
                                            <w:rPr>
                                              <w:rFonts w:ascii="Times New Roman" w:eastAsia="Times New Roman" w:hAnsi="Times New Roman" w:cs="Times New Roman"/>
                                              <w:sz w:val="24"/>
                                              <w:szCs w:val="24"/>
                                              <w:lang w:eastAsia="hr-HR"/>
                                            </w:rPr>
                                            <w:br/>
                                            <w:t>Korisnik mora imati podmirene odnosno uređene financijske obveze prema državnom proračunu Republike Hrvatske na dan 10. veljače 2023. godine. Podatke o financijskim obvezama prema državnom proračunu Agencija za plaćanja će utvrditi razmjenom podataka s Poreznom upravom.</w:t>
                                          </w:r>
                                          <w:r w:rsidRPr="001D4631">
                                            <w:rPr>
                                              <w:rFonts w:ascii="Times New Roman" w:eastAsia="Times New Roman" w:hAnsi="Times New Roman" w:cs="Times New Roman"/>
                                              <w:sz w:val="24"/>
                                              <w:szCs w:val="24"/>
                                              <w:lang w:eastAsia="hr-HR"/>
                                            </w:rPr>
                                            <w:br/>
                                            <w:t>Uvjeti prihvatljivosti korisnika propisani su podtočkom 2.1. Natječaja</w:t>
                                          </w:r>
                                          <w:r w:rsidRPr="001D4631">
                                            <w:rPr>
                                              <w:rFonts w:ascii="Times New Roman" w:eastAsia="Times New Roman" w:hAnsi="Times New Roman" w:cs="Times New Roman"/>
                                              <w:sz w:val="24"/>
                                              <w:szCs w:val="24"/>
                                              <w:lang w:eastAsia="hr-HR"/>
                                            </w:rPr>
                                            <w:br/>
                                            <w:t>Izračun potpore je opisan u Prilogu 1. Natječaja.</w:t>
                                          </w:r>
                                          <w:r w:rsidRPr="001D4631">
                                            <w:rPr>
                                              <w:rFonts w:ascii="Times New Roman" w:eastAsia="Times New Roman" w:hAnsi="Times New Roman" w:cs="Times New Roman"/>
                                              <w:sz w:val="24"/>
                                              <w:szCs w:val="24"/>
                                              <w:lang w:eastAsia="hr-HR"/>
                                            </w:rPr>
                                            <w:br/>
                                          </w:r>
                                          <w:r w:rsidRPr="001D4631">
                                            <w:rPr>
                                              <w:rFonts w:ascii="Times New Roman" w:eastAsia="Times New Roman" w:hAnsi="Times New Roman" w:cs="Times New Roman"/>
                                              <w:sz w:val="24"/>
                                              <w:szCs w:val="24"/>
                                              <w:lang w:eastAsia="hr-HR"/>
                                            </w:rPr>
                                            <w:br/>
                                            <w:t>Više o Natječaju na </w:t>
                                          </w:r>
                                          <w:hyperlink r:id="rId5" w:history="1">
                                            <w:r w:rsidRPr="001D4631">
                                              <w:rPr>
                                                <w:rFonts w:ascii="Times New Roman" w:eastAsia="Times New Roman" w:hAnsi="Times New Roman" w:cs="Times New Roman"/>
                                                <w:color w:val="0000FF"/>
                                                <w:sz w:val="24"/>
                                                <w:szCs w:val="24"/>
                                                <w:u w:val="single"/>
                                                <w:lang w:eastAsia="hr-HR"/>
                                              </w:rPr>
                                              <w:t>poveznici</w:t>
                                            </w:r>
                                          </w:hyperlink>
                                          <w:r w:rsidRPr="001D4631">
                                            <w:rPr>
                                              <w:rFonts w:ascii="Times New Roman" w:eastAsia="Times New Roman" w:hAnsi="Times New Roman" w:cs="Times New Roman"/>
                                              <w:sz w:val="24"/>
                                              <w:szCs w:val="24"/>
                                              <w:lang w:eastAsia="hr-HR"/>
                                            </w:rPr>
                                            <w:t>.</w:t>
                                          </w:r>
                                          <w:r w:rsidRPr="001D4631">
                                            <w:rPr>
                                              <w:rFonts w:ascii="Times New Roman" w:eastAsia="Times New Roman" w:hAnsi="Times New Roman" w:cs="Times New Roman"/>
                                              <w:sz w:val="24"/>
                                              <w:szCs w:val="24"/>
                                              <w:lang w:eastAsia="hr-HR"/>
                                            </w:rPr>
                                            <w:br/>
                                            <w:t> </w:t>
                                          </w:r>
                                        </w:p>
                                        <w:p w:rsidR="001D4631" w:rsidRPr="001D4631" w:rsidRDefault="001D4631" w:rsidP="001D4631">
                                          <w:pPr>
                                            <w:numPr>
                                              <w:ilvl w:val="0"/>
                                              <w:numId w:val="2"/>
                                            </w:numPr>
                                            <w:spacing w:before="100" w:beforeAutospacing="1" w:after="100" w:afterAutospacing="1" w:line="240" w:lineRule="auto"/>
                                            <w:rPr>
                                              <w:rFonts w:ascii="Times New Roman" w:eastAsia="Times New Roman" w:hAnsi="Times New Roman" w:cs="Times New Roman"/>
                                              <w:sz w:val="24"/>
                                              <w:szCs w:val="24"/>
                                              <w:lang w:eastAsia="hr-HR"/>
                                            </w:rPr>
                                          </w:pPr>
                                          <w:r w:rsidRPr="001D4631">
                                            <w:rPr>
                                              <w:rFonts w:ascii="Times New Roman" w:eastAsia="Times New Roman" w:hAnsi="Times New Roman" w:cs="Times New Roman"/>
                                              <w:b/>
                                              <w:bCs/>
                                              <w:sz w:val="24"/>
                                              <w:szCs w:val="24"/>
                                              <w:lang w:eastAsia="hr-HR"/>
                                            </w:rPr>
                                            <w:t xml:space="preserve">Natječaj za MSP-ove </w:t>
                                          </w:r>
                                          <w:r w:rsidRPr="001D4631">
                                            <w:rPr>
                                              <w:rFonts w:ascii="Times New Roman" w:eastAsia="Times New Roman" w:hAnsi="Times New Roman" w:cs="Times New Roman"/>
                                              <w:sz w:val="24"/>
                                              <w:szCs w:val="24"/>
                                              <w:lang w:eastAsia="hr-HR"/>
                                            </w:rPr>
                                            <w:t>gdje su Prihvatljivi korisnici su mikro, mala i srednja poduzeća kako su definirana u Prilogu I. Uredbe Komisije (EU) br. 2022/2472, registrirana za preradu, marketing i/ili razvoj poljoprivrednih proizvoda iz Priloga I. Ugovoru ili pamuka, osim proizvoda ribarstva (pri čemu rezultat preradbenog procesa može biti proizvod koji nije obuhvaćen Prilogom I Ugovora) najkasnije 1. siječnja 2021. godine u:</w:t>
                                          </w:r>
                                        </w:p>
                                        <w:p w:rsidR="001D4631" w:rsidRPr="001D4631" w:rsidRDefault="001D4631" w:rsidP="001D4631">
                                          <w:pPr>
                                            <w:spacing w:before="100" w:beforeAutospacing="1" w:after="100" w:afterAutospacing="1" w:line="240" w:lineRule="auto"/>
                                            <w:rPr>
                                              <w:rFonts w:ascii="Times New Roman" w:eastAsia="Times New Roman" w:hAnsi="Times New Roman" w:cs="Times New Roman"/>
                                              <w:sz w:val="24"/>
                                              <w:szCs w:val="24"/>
                                              <w:lang w:eastAsia="hr-HR"/>
                                            </w:rPr>
                                          </w:pPr>
                                          <w:r w:rsidRPr="001D4631">
                                            <w:rPr>
                                              <w:rFonts w:ascii="Times New Roman" w:eastAsia="Times New Roman" w:hAnsi="Times New Roman" w:cs="Times New Roman"/>
                                              <w:sz w:val="24"/>
                                              <w:szCs w:val="24"/>
                                              <w:lang w:eastAsia="hr-HR"/>
                                            </w:rPr>
                                            <w:t>a) Upisniku subjekata u ekološkoj proizvodnji za potkategoriju B – prerađivači i/ili</w:t>
                                          </w:r>
                                          <w:r w:rsidRPr="001D4631">
                                            <w:rPr>
                                              <w:rFonts w:ascii="Times New Roman" w:eastAsia="Times New Roman" w:hAnsi="Times New Roman" w:cs="Times New Roman"/>
                                              <w:sz w:val="24"/>
                                              <w:szCs w:val="24"/>
                                              <w:lang w:eastAsia="hr-HR"/>
                                            </w:rPr>
                                            <w:br/>
                                            <w:t>b) odgovarajućim registrima objekata za poslovanje s hranom životinjskog podrijetla u nadležnosti Ministarstva poljoprivrede (Upisnik objekata i subjekata u poslovanju s hranom životinjskog podrijetla, Registar primarnih proizvođača hrane za životinje) ili ne životinjskog podrijetla u nadležnosti Državnog inspektorata (Registar subjekata i pripadajućih objekata u poslovanju s hranom iz nadležnosti sanitarne inspekcije Državnog inspektorata) i/ili</w:t>
                                          </w:r>
                                          <w:r w:rsidRPr="001D4631">
                                            <w:rPr>
                                              <w:rFonts w:ascii="Times New Roman" w:eastAsia="Times New Roman" w:hAnsi="Times New Roman" w:cs="Times New Roman"/>
                                              <w:sz w:val="24"/>
                                              <w:szCs w:val="24"/>
                                              <w:lang w:eastAsia="hr-HR"/>
                                            </w:rPr>
                                            <w:br/>
                                            <w:t>c) Upisniku obiteljskih poljoprivrednih gospodarstava za obavljanje dopunske djelatnosti prerade i/ili</w:t>
                                          </w:r>
                                          <w:r w:rsidRPr="001D4631">
                                            <w:rPr>
                                              <w:rFonts w:ascii="Times New Roman" w:eastAsia="Times New Roman" w:hAnsi="Times New Roman" w:cs="Times New Roman"/>
                                              <w:sz w:val="24"/>
                                              <w:szCs w:val="24"/>
                                              <w:lang w:eastAsia="hr-HR"/>
                                            </w:rPr>
                                            <w:br/>
                                            <w:t xml:space="preserve">d) registru proizvođača predmeta opće uporabe (kozmetički proizvodi) u nadležnosti </w:t>
                                          </w:r>
                                          <w:r w:rsidRPr="001D4631">
                                            <w:rPr>
                                              <w:rFonts w:ascii="Times New Roman" w:eastAsia="Times New Roman" w:hAnsi="Times New Roman" w:cs="Times New Roman"/>
                                              <w:sz w:val="24"/>
                                              <w:szCs w:val="24"/>
                                              <w:lang w:eastAsia="hr-HR"/>
                                            </w:rPr>
                                            <w:lastRenderedPageBreak/>
                                            <w:t>Ministarstva zdravstva.</w:t>
                                          </w:r>
                                          <w:r w:rsidRPr="001D4631">
                                            <w:rPr>
                                              <w:rFonts w:ascii="Times New Roman" w:eastAsia="Times New Roman" w:hAnsi="Times New Roman" w:cs="Times New Roman"/>
                                              <w:sz w:val="24"/>
                                              <w:szCs w:val="24"/>
                                              <w:lang w:eastAsia="hr-HR"/>
                                            </w:rPr>
                                            <w:br/>
                                          </w:r>
                                          <w:r w:rsidRPr="001D4631">
                                            <w:rPr>
                                              <w:rFonts w:ascii="Times New Roman" w:eastAsia="Times New Roman" w:hAnsi="Times New Roman" w:cs="Times New Roman"/>
                                              <w:sz w:val="24"/>
                                              <w:szCs w:val="24"/>
                                              <w:lang w:eastAsia="hr-HR"/>
                                            </w:rPr>
                                            <w:br/>
                                            <w:t>Uvjeti prihvatljivosti korisnika propisani su podtočkom 2.1. Natječaja</w:t>
                                          </w:r>
                                          <w:r w:rsidRPr="001D4631">
                                            <w:rPr>
                                              <w:rFonts w:ascii="Times New Roman" w:eastAsia="Times New Roman" w:hAnsi="Times New Roman" w:cs="Times New Roman"/>
                                              <w:sz w:val="24"/>
                                              <w:szCs w:val="24"/>
                                              <w:lang w:eastAsia="hr-HR"/>
                                            </w:rPr>
                                            <w:br/>
                                            <w:t>Za korisnike koji ispunjavaju uvjete propisane podtočkom 2.1. ovoga Natječaja iznos paušalne potpore izračunava temeljem smanjenja primitaka/prihoda korisnika u 2022. godinu u odnosu na 2021. godinu.</w:t>
                                          </w:r>
                                          <w:r w:rsidRPr="001D4631">
                                            <w:rPr>
                                              <w:rFonts w:ascii="Times New Roman" w:eastAsia="Times New Roman" w:hAnsi="Times New Roman" w:cs="Times New Roman"/>
                                              <w:sz w:val="24"/>
                                              <w:szCs w:val="24"/>
                                              <w:lang w:eastAsia="hr-HR"/>
                                            </w:rPr>
                                            <w:br/>
                                            <w:t>Uzimajući u obzir %-tno smanjenje primitaka/prihoda, paušalna potpora po korisniku iznosi kako slijedi:</w:t>
                                          </w:r>
                                          <w:r w:rsidRPr="001D4631">
                                            <w:rPr>
                                              <w:rFonts w:ascii="Times New Roman" w:eastAsia="Times New Roman" w:hAnsi="Times New Roman" w:cs="Times New Roman"/>
                                              <w:sz w:val="24"/>
                                              <w:szCs w:val="24"/>
                                              <w:lang w:eastAsia="hr-HR"/>
                                            </w:rPr>
                                            <w:br/>
                                            <w:t>a) 10% – 20% smanjenja primitaka/prihoda – potpora 5.000 EUR</w:t>
                                          </w:r>
                                          <w:r w:rsidRPr="001D4631">
                                            <w:rPr>
                                              <w:rFonts w:ascii="Times New Roman" w:eastAsia="Times New Roman" w:hAnsi="Times New Roman" w:cs="Times New Roman"/>
                                              <w:sz w:val="24"/>
                                              <w:szCs w:val="24"/>
                                              <w:lang w:eastAsia="hr-HR"/>
                                            </w:rPr>
                                            <w:br/>
                                            <w:t>b) 20,01% -30% smanjenja primitaka/prihoda – potpora 10.000 EUR</w:t>
                                          </w:r>
                                          <w:r w:rsidRPr="001D4631">
                                            <w:rPr>
                                              <w:rFonts w:ascii="Times New Roman" w:eastAsia="Times New Roman" w:hAnsi="Times New Roman" w:cs="Times New Roman"/>
                                              <w:sz w:val="24"/>
                                              <w:szCs w:val="24"/>
                                              <w:lang w:eastAsia="hr-HR"/>
                                            </w:rPr>
                                            <w:br/>
                                            <w:t>c) 30,01% – 40% smanjenja primitaka/prihoda – potpora 15.000 EUR</w:t>
                                          </w:r>
                                          <w:r w:rsidRPr="001D4631">
                                            <w:rPr>
                                              <w:rFonts w:ascii="Times New Roman" w:eastAsia="Times New Roman" w:hAnsi="Times New Roman" w:cs="Times New Roman"/>
                                              <w:sz w:val="24"/>
                                              <w:szCs w:val="24"/>
                                              <w:lang w:eastAsia="hr-HR"/>
                                            </w:rPr>
                                            <w:br/>
                                            <w:t>d) 40,01% – 50% smanjenja primitaka/prihoda – potpora 20.000 EUR</w:t>
                                          </w:r>
                                          <w:r w:rsidRPr="001D4631">
                                            <w:rPr>
                                              <w:rFonts w:ascii="Times New Roman" w:eastAsia="Times New Roman" w:hAnsi="Times New Roman" w:cs="Times New Roman"/>
                                              <w:sz w:val="24"/>
                                              <w:szCs w:val="24"/>
                                              <w:lang w:eastAsia="hr-HR"/>
                                            </w:rPr>
                                            <w:br/>
                                            <w:t>e) &gt;50% smanjenja primitaka/prihoda – potpora 25.000 EUR.</w:t>
                                          </w:r>
                                          <w:r w:rsidRPr="001D4631">
                                            <w:rPr>
                                              <w:rFonts w:ascii="Times New Roman" w:eastAsia="Times New Roman" w:hAnsi="Times New Roman" w:cs="Times New Roman"/>
                                              <w:sz w:val="24"/>
                                              <w:szCs w:val="24"/>
                                              <w:lang w:eastAsia="hr-HR"/>
                                            </w:rPr>
                                            <w:br/>
                                          </w:r>
                                          <w:r w:rsidRPr="001D4631">
                                            <w:rPr>
                                              <w:rFonts w:ascii="Times New Roman" w:eastAsia="Times New Roman" w:hAnsi="Times New Roman" w:cs="Times New Roman"/>
                                              <w:sz w:val="24"/>
                                              <w:szCs w:val="24"/>
                                              <w:lang w:eastAsia="hr-HR"/>
                                            </w:rPr>
                                            <w:br/>
                                            <w:t>Agencija za plaćanja će prije isplate potpore za korisnike obveznike poreza na dohodak provesti razmjenu podataka s Poreznom upravom radi provjere ispravnosti podataka za 2022. godinu. U slučaju odstupanja podataka od podataka iz obrazaca dostavljenih prilikom podnošenja zahtjeva za isplatu temeljem kojih je korisnik ostvario pravo na veći iznos potpore od stvarno prihvatljivog, korisniku će biti izdana Odluka o odbijanju zahtjeva za isplatu kojom će se prethodno donesena odluka staviti van snage.</w:t>
                                          </w:r>
                                          <w:r w:rsidRPr="001D4631">
                                            <w:rPr>
                                              <w:rFonts w:ascii="Times New Roman" w:eastAsia="Times New Roman" w:hAnsi="Times New Roman" w:cs="Times New Roman"/>
                                              <w:sz w:val="24"/>
                                              <w:szCs w:val="24"/>
                                              <w:lang w:eastAsia="hr-HR"/>
                                            </w:rPr>
                                            <w:br/>
                                            <w:t>Korisnik koji je podnio zahtjev za potporu u okviru drugih nacionalnih instrumenata potpore ili drugih instrumenata potpore Unije ili privatnih programa za pružanje odgovora na učinke invazije Rusije na Ukrajinu nije prihvatljiv korisnik u oba objavljena Natječaja.</w:t>
                                          </w:r>
                                          <w:r w:rsidRPr="001D4631">
                                            <w:rPr>
                                              <w:rFonts w:ascii="Times New Roman" w:eastAsia="Times New Roman" w:hAnsi="Times New Roman" w:cs="Times New Roman"/>
                                              <w:sz w:val="24"/>
                                              <w:szCs w:val="24"/>
                                              <w:lang w:eastAsia="hr-HR"/>
                                            </w:rPr>
                                            <w:br/>
                                          </w:r>
                                          <w:r w:rsidRPr="001D4631">
                                            <w:rPr>
                                              <w:rFonts w:ascii="Times New Roman" w:eastAsia="Times New Roman" w:hAnsi="Times New Roman" w:cs="Times New Roman"/>
                                              <w:sz w:val="24"/>
                                              <w:szCs w:val="24"/>
                                              <w:lang w:eastAsia="hr-HR"/>
                                            </w:rPr>
                                            <w:br/>
                                            <w:t>Drugi instrumenti potpore uključuju:</w:t>
                                          </w:r>
                                          <w:r w:rsidRPr="001D4631">
                                            <w:rPr>
                                              <w:rFonts w:ascii="Times New Roman" w:eastAsia="Times New Roman" w:hAnsi="Times New Roman" w:cs="Times New Roman"/>
                                              <w:sz w:val="24"/>
                                              <w:szCs w:val="24"/>
                                              <w:lang w:eastAsia="hr-HR"/>
                                            </w:rPr>
                                            <w:br/>
                                            <w:t>Program pojedinačnog i portfeljnog osiguranja kredita za likvidnost i ulaganja izvoznika usklađen s Privremenim kriznim okvirom – odjeljci 2.1 i 2.2</w:t>
                                          </w:r>
                                          <w:r w:rsidRPr="001D4631">
                                            <w:rPr>
                                              <w:rFonts w:ascii="Times New Roman" w:eastAsia="Times New Roman" w:hAnsi="Times New Roman" w:cs="Times New Roman"/>
                                              <w:sz w:val="24"/>
                                              <w:szCs w:val="24"/>
                                              <w:lang w:eastAsia="hr-HR"/>
                                            </w:rPr>
                                            <w:br/>
                                            <w:t>Program dodjele potpora HBOR-a – TCF – 2.1 2.3.</w:t>
                                          </w:r>
                                          <w:r w:rsidRPr="001D4631">
                                            <w:rPr>
                                              <w:rFonts w:ascii="Times New Roman" w:eastAsia="Times New Roman" w:hAnsi="Times New Roman" w:cs="Times New Roman"/>
                                              <w:sz w:val="24"/>
                                              <w:szCs w:val="24"/>
                                              <w:lang w:eastAsia="hr-HR"/>
                                            </w:rPr>
                                            <w:br/>
                                            <w:t>Program državne potpore za kompenzaciju rasta cijene energenata u sektorima prerade poljoprivrednih proizvoda.</w:t>
                                          </w:r>
                                          <w:r w:rsidRPr="001D4631">
                                            <w:rPr>
                                              <w:rFonts w:ascii="Times New Roman" w:eastAsia="Times New Roman" w:hAnsi="Times New Roman" w:cs="Times New Roman"/>
                                              <w:sz w:val="24"/>
                                              <w:szCs w:val="24"/>
                                              <w:lang w:eastAsia="hr-HR"/>
                                            </w:rPr>
                                            <w:br/>
                                          </w:r>
                                          <w:r w:rsidRPr="001D4631">
                                            <w:rPr>
                                              <w:rFonts w:ascii="Times New Roman" w:eastAsia="Times New Roman" w:hAnsi="Times New Roman" w:cs="Times New Roman"/>
                                              <w:sz w:val="24"/>
                                              <w:szCs w:val="24"/>
                                              <w:lang w:eastAsia="hr-HR"/>
                                            </w:rPr>
                                            <w:br/>
                                            <w:t>Više o Natječaju za MPS-ove na </w:t>
                                          </w:r>
                                          <w:hyperlink r:id="rId6" w:history="1">
                                            <w:r w:rsidRPr="001D4631">
                                              <w:rPr>
                                                <w:rFonts w:ascii="Times New Roman" w:eastAsia="Times New Roman" w:hAnsi="Times New Roman" w:cs="Times New Roman"/>
                                                <w:color w:val="0000FF"/>
                                                <w:sz w:val="24"/>
                                                <w:szCs w:val="24"/>
                                                <w:u w:val="single"/>
                                                <w:lang w:eastAsia="hr-HR"/>
                                              </w:rPr>
                                              <w:t>poveznici</w:t>
                                            </w:r>
                                          </w:hyperlink>
                                          <w:r w:rsidRPr="001D4631">
                                            <w:rPr>
                                              <w:rFonts w:ascii="Times New Roman" w:eastAsia="Times New Roman" w:hAnsi="Times New Roman" w:cs="Times New Roman"/>
                                              <w:sz w:val="24"/>
                                              <w:szCs w:val="24"/>
                                              <w:lang w:eastAsia="hr-HR"/>
                                            </w:rPr>
                                            <w:t>.</w:t>
                                          </w:r>
                                          <w:r w:rsidRPr="001D4631">
                                            <w:rPr>
                                              <w:rFonts w:ascii="Times New Roman" w:eastAsia="Times New Roman" w:hAnsi="Times New Roman" w:cs="Times New Roman"/>
                                              <w:sz w:val="24"/>
                                              <w:szCs w:val="24"/>
                                              <w:lang w:eastAsia="hr-HR"/>
                                            </w:rPr>
                                            <w:br/>
                                          </w:r>
                                          <w:r w:rsidRPr="001D4631">
                                            <w:rPr>
                                              <w:rFonts w:ascii="Times New Roman" w:eastAsia="Times New Roman" w:hAnsi="Times New Roman" w:cs="Times New Roman"/>
                                              <w:sz w:val="24"/>
                                              <w:szCs w:val="24"/>
                                              <w:lang w:eastAsia="hr-HR"/>
                                            </w:rPr>
                                            <w:br/>
                                            <w:t>S poštovanjem,</w:t>
                                          </w:r>
                                        </w:p>
                                      </w:tc>
                                    </w:tr>
                                  </w:tbl>
                                  <w:p w:rsidR="001D4631" w:rsidRPr="001D4631" w:rsidRDefault="001D4631" w:rsidP="001D4631">
                                    <w:pPr>
                                      <w:spacing w:after="0" w:line="240" w:lineRule="auto"/>
                                      <w:rPr>
                                        <w:rFonts w:ascii="Times New Roman" w:eastAsia="Times New Roman" w:hAnsi="Times New Roman" w:cs="Times New Roman"/>
                                        <w:sz w:val="24"/>
                                        <w:szCs w:val="24"/>
                                        <w:lang w:eastAsia="hr-HR"/>
                                      </w:rPr>
                                    </w:pPr>
                                  </w:p>
                                </w:tc>
                              </w:tr>
                            </w:tbl>
                            <w:p w:rsidR="001D4631" w:rsidRPr="001D4631" w:rsidRDefault="001D4631" w:rsidP="001D4631">
                              <w:pPr>
                                <w:spacing w:after="0" w:line="240" w:lineRule="auto"/>
                                <w:rPr>
                                  <w:rFonts w:ascii="Times New Roman" w:eastAsia="Times New Roman" w:hAnsi="Times New Roman" w:cs="Times New Roman"/>
                                  <w:sz w:val="24"/>
                                  <w:szCs w:val="24"/>
                                  <w:lang w:eastAsia="hr-HR"/>
                                </w:rPr>
                              </w:pPr>
                            </w:p>
                          </w:tc>
                        </w:tr>
                      </w:tbl>
                      <w:p w:rsidR="001D4631" w:rsidRPr="001D4631" w:rsidRDefault="001D4631" w:rsidP="001D4631">
                        <w:pPr>
                          <w:spacing w:after="0" w:line="240" w:lineRule="auto"/>
                          <w:rPr>
                            <w:rFonts w:ascii="Times New Roman" w:eastAsia="Times New Roman" w:hAnsi="Times New Roman" w:cs="Times New Roman"/>
                            <w:sz w:val="24"/>
                            <w:szCs w:val="24"/>
                            <w:lang w:eastAsia="hr-HR"/>
                          </w:rPr>
                        </w:pPr>
                      </w:p>
                    </w:tc>
                  </w:tr>
                </w:tbl>
                <w:p w:rsidR="001D4631" w:rsidRPr="001D4631" w:rsidRDefault="001D4631" w:rsidP="001D4631">
                  <w:pPr>
                    <w:spacing w:after="0" w:line="240" w:lineRule="auto"/>
                    <w:rPr>
                      <w:rFonts w:ascii="Times New Roman" w:eastAsia="Times New Roman" w:hAnsi="Times New Roman" w:cs="Times New Roman"/>
                      <w:sz w:val="24"/>
                      <w:szCs w:val="24"/>
                      <w:lang w:eastAsia="hr-HR"/>
                    </w:rPr>
                  </w:pPr>
                </w:p>
              </w:tc>
            </w:tr>
            <w:tr w:rsidR="001D4631" w:rsidRPr="001D463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982"/>
                  </w:tblGrid>
                  <w:tr w:rsidR="001D4631" w:rsidRPr="001D4631">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tblPr>
                        <w:tblGrid>
                          <w:gridCol w:w="9000"/>
                        </w:tblGrid>
                        <w:tr w:rsidR="001D4631" w:rsidRPr="001D463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910"/>
                              </w:tblGrid>
                              <w:tr w:rsidR="001D4631" w:rsidRPr="001D463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820"/>
                                    </w:tblGrid>
                                    <w:tr w:rsidR="001D4631" w:rsidRPr="001D4631">
                                      <w:trPr>
                                        <w:tblCellSpacing w:w="15" w:type="dxa"/>
                                      </w:trPr>
                                      <w:tc>
                                        <w:tcPr>
                                          <w:tcW w:w="0" w:type="auto"/>
                                          <w:vAlign w:val="center"/>
                                          <w:hideMark/>
                                        </w:tcPr>
                                        <w:p w:rsidR="001D4631" w:rsidRPr="001D4631" w:rsidRDefault="001D4631" w:rsidP="001D4631">
                                          <w:pPr>
                                            <w:spacing w:before="100" w:beforeAutospacing="1" w:after="100" w:afterAutospacing="1" w:line="240" w:lineRule="auto"/>
                                            <w:rPr>
                                              <w:rFonts w:ascii="Times New Roman" w:eastAsia="Times New Roman" w:hAnsi="Times New Roman" w:cs="Times New Roman"/>
                                              <w:sz w:val="24"/>
                                              <w:szCs w:val="24"/>
                                              <w:lang w:eastAsia="hr-HR"/>
                                            </w:rPr>
                                          </w:pPr>
                                          <w:r w:rsidRPr="001D4631">
                                            <w:rPr>
                                              <w:rFonts w:ascii="Times New Roman" w:eastAsia="Times New Roman" w:hAnsi="Times New Roman" w:cs="Times New Roman"/>
                                              <w:sz w:val="24"/>
                                              <w:szCs w:val="24"/>
                                              <w:lang w:eastAsia="hr-HR"/>
                                            </w:rPr>
                                            <w:lastRenderedPageBreak/>
                                            <w:t>Lokalna akcijska grupa ''LAG 5''</w:t>
                                          </w:r>
                                          <w:r w:rsidRPr="001D4631">
                                            <w:rPr>
                                              <w:rFonts w:ascii="Times New Roman" w:eastAsia="Times New Roman" w:hAnsi="Times New Roman" w:cs="Times New Roman"/>
                                              <w:sz w:val="24"/>
                                              <w:szCs w:val="24"/>
                                              <w:lang w:eastAsia="hr-HR"/>
                                            </w:rPr>
                                            <w:br/>
                                            <w:t>Trg sv. Justine 13, 20260 Korčula</w:t>
                                          </w:r>
                                          <w:r w:rsidRPr="001D4631">
                                            <w:rPr>
                                              <w:rFonts w:ascii="Times New Roman" w:eastAsia="Times New Roman" w:hAnsi="Times New Roman" w:cs="Times New Roman"/>
                                              <w:sz w:val="24"/>
                                              <w:szCs w:val="24"/>
                                              <w:lang w:eastAsia="hr-HR"/>
                                            </w:rPr>
                                            <w:br/>
                                            <w:t>tel. +38520713472</w:t>
                                          </w:r>
                                        </w:p>
                                      </w:tc>
                                    </w:tr>
                                  </w:tbl>
                                  <w:p w:rsidR="001D4631" w:rsidRPr="001D4631" w:rsidRDefault="001D4631" w:rsidP="001D4631">
                                    <w:pPr>
                                      <w:spacing w:after="0" w:line="240" w:lineRule="auto"/>
                                      <w:rPr>
                                        <w:rFonts w:ascii="Times New Roman" w:eastAsia="Times New Roman" w:hAnsi="Times New Roman" w:cs="Times New Roman"/>
                                        <w:sz w:val="24"/>
                                        <w:szCs w:val="24"/>
                                        <w:lang w:eastAsia="hr-HR"/>
                                      </w:rPr>
                                    </w:pPr>
                                  </w:p>
                                </w:tc>
                              </w:tr>
                            </w:tbl>
                            <w:p w:rsidR="001D4631" w:rsidRPr="001D4631" w:rsidRDefault="001D4631" w:rsidP="001D4631">
                              <w:pPr>
                                <w:spacing w:after="0" w:line="240" w:lineRule="auto"/>
                                <w:rPr>
                                  <w:rFonts w:ascii="Times New Roman" w:eastAsia="Times New Roman" w:hAnsi="Times New Roman" w:cs="Times New Roman"/>
                                  <w:vanish/>
                                  <w:sz w:val="24"/>
                                  <w:szCs w:val="24"/>
                                  <w:lang w:eastAsia="hr-HR"/>
                                </w:rPr>
                              </w:pPr>
                            </w:p>
                            <w:tbl>
                              <w:tblPr>
                                <w:tblW w:w="5000" w:type="pct"/>
                                <w:tblCellSpacing w:w="15" w:type="dxa"/>
                                <w:tblCellMar>
                                  <w:top w:w="15" w:type="dxa"/>
                                  <w:left w:w="15" w:type="dxa"/>
                                  <w:bottom w:w="15" w:type="dxa"/>
                                  <w:right w:w="15" w:type="dxa"/>
                                </w:tblCellMar>
                                <w:tblLook w:val="04A0"/>
                              </w:tblPr>
                              <w:tblGrid>
                                <w:gridCol w:w="8910"/>
                              </w:tblGrid>
                              <w:tr w:rsidR="001D4631" w:rsidRPr="001D463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820"/>
                                    </w:tblGrid>
                                    <w:tr w:rsidR="001D4631" w:rsidRPr="001D463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730"/>
                                          </w:tblGrid>
                                          <w:tr w:rsidR="001D4631" w:rsidRPr="001D4631">
                                            <w:trPr>
                                              <w:tblCellSpacing w:w="15" w:type="dxa"/>
                                            </w:trPr>
                                            <w:tc>
                                              <w:tcPr>
                                                <w:tcW w:w="0" w:type="auto"/>
                                                <w:vAlign w:val="center"/>
                                                <w:hideMark/>
                                              </w:tcPr>
                                              <w:p w:rsidR="001D4631" w:rsidRPr="001D4631" w:rsidRDefault="001D4631" w:rsidP="001D4631">
                                                <w:pPr>
                                                  <w:spacing w:after="0" w:line="240" w:lineRule="auto"/>
                                                  <w:rPr>
                                                    <w:rFonts w:ascii="Times New Roman" w:eastAsia="Times New Roman" w:hAnsi="Times New Roman" w:cs="Times New Roman"/>
                                                    <w:sz w:val="24"/>
                                                    <w:szCs w:val="24"/>
                                                    <w:lang w:eastAsia="hr-HR"/>
                                                  </w:rPr>
                                                </w:pPr>
                                              </w:p>
                                            </w:tc>
                                          </w:tr>
                                        </w:tbl>
                                        <w:p w:rsidR="001D4631" w:rsidRPr="001D4631" w:rsidRDefault="001D4631" w:rsidP="001D4631">
                                          <w:pPr>
                                            <w:spacing w:after="0" w:line="240" w:lineRule="auto"/>
                                            <w:rPr>
                                              <w:rFonts w:ascii="Times New Roman" w:eastAsia="Times New Roman" w:hAnsi="Times New Roman" w:cs="Times New Roman"/>
                                              <w:sz w:val="24"/>
                                              <w:szCs w:val="24"/>
                                              <w:lang w:eastAsia="hr-HR"/>
                                            </w:rPr>
                                          </w:pPr>
                                        </w:p>
                                      </w:tc>
                                    </w:tr>
                                  </w:tbl>
                                  <w:p w:rsidR="001D4631" w:rsidRPr="001D4631" w:rsidRDefault="001D4631" w:rsidP="001D4631">
                                    <w:pPr>
                                      <w:spacing w:after="0" w:line="240" w:lineRule="auto"/>
                                      <w:rPr>
                                        <w:rFonts w:ascii="Times New Roman" w:eastAsia="Times New Roman" w:hAnsi="Times New Roman" w:cs="Times New Roman"/>
                                        <w:sz w:val="24"/>
                                        <w:szCs w:val="24"/>
                                        <w:lang w:eastAsia="hr-HR"/>
                                      </w:rPr>
                                    </w:pPr>
                                  </w:p>
                                </w:tc>
                              </w:tr>
                            </w:tbl>
                            <w:p w:rsidR="001D4631" w:rsidRPr="001D4631" w:rsidRDefault="001D4631" w:rsidP="001D4631">
                              <w:pPr>
                                <w:spacing w:after="0" w:line="240" w:lineRule="auto"/>
                                <w:rPr>
                                  <w:rFonts w:ascii="Times New Roman" w:eastAsia="Times New Roman" w:hAnsi="Times New Roman" w:cs="Times New Roman"/>
                                  <w:sz w:val="24"/>
                                  <w:szCs w:val="24"/>
                                  <w:lang w:eastAsia="hr-HR"/>
                                </w:rPr>
                              </w:pPr>
                            </w:p>
                          </w:tc>
                        </w:tr>
                      </w:tbl>
                      <w:p w:rsidR="001D4631" w:rsidRPr="001D4631" w:rsidRDefault="001D4631" w:rsidP="001D4631">
                        <w:pPr>
                          <w:spacing w:after="0" w:line="240" w:lineRule="auto"/>
                          <w:rPr>
                            <w:rFonts w:ascii="Times New Roman" w:eastAsia="Times New Roman" w:hAnsi="Times New Roman" w:cs="Times New Roman"/>
                            <w:sz w:val="24"/>
                            <w:szCs w:val="24"/>
                            <w:lang w:eastAsia="hr-HR"/>
                          </w:rPr>
                        </w:pPr>
                      </w:p>
                    </w:tc>
                  </w:tr>
                </w:tbl>
                <w:p w:rsidR="001D4631" w:rsidRPr="001D4631" w:rsidRDefault="001D4631" w:rsidP="001D4631">
                  <w:pPr>
                    <w:spacing w:after="0" w:line="240" w:lineRule="auto"/>
                    <w:rPr>
                      <w:rFonts w:ascii="Times New Roman" w:eastAsia="Times New Roman" w:hAnsi="Times New Roman" w:cs="Times New Roman"/>
                      <w:sz w:val="24"/>
                      <w:szCs w:val="24"/>
                      <w:lang w:eastAsia="hr-HR"/>
                    </w:rPr>
                  </w:pPr>
                </w:p>
              </w:tc>
            </w:tr>
            <w:tr w:rsidR="001D4631" w:rsidRPr="001D463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982"/>
                  </w:tblGrid>
                  <w:tr w:rsidR="001D4631" w:rsidRPr="001D4631">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tblPr>
                        <w:tblGrid>
                          <w:gridCol w:w="9000"/>
                        </w:tblGrid>
                        <w:tr w:rsidR="001D4631" w:rsidRPr="001D463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910"/>
                              </w:tblGrid>
                              <w:tr w:rsidR="001D4631" w:rsidRPr="001D4631">
                                <w:trPr>
                                  <w:tblCellSpacing w:w="15" w:type="dxa"/>
                                </w:trPr>
                                <w:tc>
                                  <w:tcPr>
                                    <w:tcW w:w="0" w:type="auto"/>
                                    <w:vAlign w:val="center"/>
                                    <w:hideMark/>
                                  </w:tcPr>
                                  <w:p w:rsidR="001D4631" w:rsidRPr="001D4631" w:rsidRDefault="001D4631" w:rsidP="001D4631">
                                    <w:pPr>
                                      <w:spacing w:after="0" w:line="240" w:lineRule="auto"/>
                                      <w:rPr>
                                        <w:rFonts w:ascii="Times New Roman" w:eastAsia="Times New Roman" w:hAnsi="Times New Roman" w:cs="Times New Roman"/>
                                        <w:sz w:val="24"/>
                                        <w:szCs w:val="24"/>
                                        <w:lang w:eastAsia="hr-HR"/>
                                      </w:rPr>
                                    </w:pPr>
                                  </w:p>
                                </w:tc>
                              </w:tr>
                            </w:tbl>
                            <w:p w:rsidR="001D4631" w:rsidRPr="001D4631" w:rsidRDefault="001D4631" w:rsidP="001D4631">
                              <w:pPr>
                                <w:spacing w:after="0" w:line="240" w:lineRule="auto"/>
                                <w:rPr>
                                  <w:rFonts w:ascii="Times New Roman" w:eastAsia="Times New Roman" w:hAnsi="Times New Roman" w:cs="Times New Roman"/>
                                  <w:sz w:val="24"/>
                                  <w:szCs w:val="24"/>
                                  <w:lang w:eastAsia="hr-HR"/>
                                </w:rPr>
                              </w:pPr>
                            </w:p>
                          </w:tc>
                        </w:tr>
                      </w:tbl>
                      <w:p w:rsidR="001D4631" w:rsidRPr="001D4631" w:rsidRDefault="001D4631" w:rsidP="001D4631">
                        <w:pPr>
                          <w:spacing w:after="0" w:line="240" w:lineRule="auto"/>
                          <w:rPr>
                            <w:rFonts w:ascii="Times New Roman" w:eastAsia="Times New Roman" w:hAnsi="Times New Roman" w:cs="Times New Roman"/>
                            <w:sz w:val="24"/>
                            <w:szCs w:val="24"/>
                            <w:lang w:eastAsia="hr-HR"/>
                          </w:rPr>
                        </w:pPr>
                      </w:p>
                    </w:tc>
                  </w:tr>
                </w:tbl>
                <w:p w:rsidR="001D4631" w:rsidRPr="001D4631" w:rsidRDefault="001D4631" w:rsidP="001D4631">
                  <w:pPr>
                    <w:spacing w:after="0" w:line="240" w:lineRule="auto"/>
                    <w:rPr>
                      <w:rFonts w:ascii="Times New Roman" w:eastAsia="Times New Roman" w:hAnsi="Times New Roman" w:cs="Times New Roman"/>
                      <w:sz w:val="24"/>
                      <w:szCs w:val="24"/>
                      <w:lang w:eastAsia="hr-HR"/>
                    </w:rPr>
                  </w:pPr>
                </w:p>
              </w:tc>
            </w:tr>
          </w:tbl>
          <w:p w:rsidR="001D4631" w:rsidRPr="001D4631" w:rsidRDefault="001D4631" w:rsidP="001D4631">
            <w:pPr>
              <w:spacing w:after="0" w:line="240" w:lineRule="auto"/>
              <w:rPr>
                <w:rFonts w:ascii="Times New Roman" w:eastAsia="Times New Roman" w:hAnsi="Times New Roman" w:cs="Times New Roman"/>
                <w:sz w:val="24"/>
                <w:szCs w:val="24"/>
                <w:lang w:eastAsia="hr-HR"/>
              </w:rPr>
            </w:pPr>
          </w:p>
        </w:tc>
      </w:tr>
    </w:tbl>
    <w:p w:rsidR="001D4631" w:rsidRPr="001D4631" w:rsidRDefault="001D4631" w:rsidP="001D4631">
      <w:pPr>
        <w:spacing w:after="0" w:line="240" w:lineRule="auto"/>
        <w:rPr>
          <w:rFonts w:ascii="Times New Roman" w:eastAsia="Times New Roman" w:hAnsi="Times New Roman" w:cs="Times New Roman"/>
          <w:sz w:val="24"/>
          <w:szCs w:val="24"/>
          <w:lang w:eastAsia="hr-HR"/>
        </w:rPr>
      </w:pPr>
      <w:r w:rsidRPr="001D4631">
        <w:rPr>
          <w:rFonts w:ascii="Times New Roman" w:eastAsia="Times New Roman" w:hAnsi="Times New Roman" w:cs="Times New Roman"/>
          <w:sz w:val="24"/>
          <w:szCs w:val="24"/>
          <w:lang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Web Bug from https://lag5.us3.list-manage.com/track/open.php?u=c2ea6255e95561e2901ff0074&amp;id=5714f022a4&amp;e=adb01ff26c" style="width:.75pt;height:.75pt"/>
        </w:pict>
      </w:r>
    </w:p>
    <w:p w:rsidR="00BF59EF" w:rsidRDefault="00BF59EF"/>
    <w:sectPr w:rsidR="00BF59EF" w:rsidSect="00BF59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9488A"/>
    <w:multiLevelType w:val="multilevel"/>
    <w:tmpl w:val="16CAC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7A0E99"/>
    <w:multiLevelType w:val="multilevel"/>
    <w:tmpl w:val="A8484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D4631"/>
    <w:rsid w:val="001D4631"/>
    <w:rsid w:val="00BF59E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9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463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1D4631"/>
    <w:rPr>
      <w:b/>
      <w:bCs/>
    </w:rPr>
  </w:style>
  <w:style w:type="character" w:styleId="Hyperlink">
    <w:name w:val="Hyperlink"/>
    <w:basedOn w:val="DefaultParagraphFont"/>
    <w:uiPriority w:val="99"/>
    <w:semiHidden/>
    <w:unhideWhenUsed/>
    <w:rsid w:val="001D4631"/>
    <w:rPr>
      <w:color w:val="0000FF"/>
      <w:u w:val="single"/>
    </w:rPr>
  </w:style>
  <w:style w:type="character" w:styleId="Emphasis">
    <w:name w:val="Emphasis"/>
    <w:basedOn w:val="DefaultParagraphFont"/>
    <w:uiPriority w:val="20"/>
    <w:qFormat/>
    <w:rsid w:val="001D4631"/>
    <w:rPr>
      <w:i/>
      <w:iCs/>
    </w:rPr>
  </w:style>
  <w:style w:type="character" w:customStyle="1" w:styleId="org">
    <w:name w:val="org"/>
    <w:basedOn w:val="DefaultParagraphFont"/>
    <w:rsid w:val="001D4631"/>
  </w:style>
  <w:style w:type="character" w:customStyle="1" w:styleId="locality">
    <w:name w:val="locality"/>
    <w:basedOn w:val="DefaultParagraphFont"/>
    <w:rsid w:val="001D4631"/>
  </w:style>
  <w:style w:type="character" w:customStyle="1" w:styleId="postal-code">
    <w:name w:val="postal-code"/>
    <w:basedOn w:val="DefaultParagraphFont"/>
    <w:rsid w:val="001D4631"/>
  </w:style>
</w:styles>
</file>

<file path=word/webSettings.xml><?xml version="1.0" encoding="utf-8"?>
<w:webSettings xmlns:r="http://schemas.openxmlformats.org/officeDocument/2006/relationships" xmlns:w="http://schemas.openxmlformats.org/wordprocessingml/2006/main">
  <w:divs>
    <w:div w:id="220948576">
      <w:bodyDiv w:val="1"/>
      <w:marLeft w:val="0"/>
      <w:marRight w:val="0"/>
      <w:marTop w:val="0"/>
      <w:marBottom w:val="0"/>
      <w:divBdr>
        <w:top w:val="none" w:sz="0" w:space="0" w:color="auto"/>
        <w:left w:val="none" w:sz="0" w:space="0" w:color="auto"/>
        <w:bottom w:val="none" w:sz="0" w:space="0" w:color="auto"/>
        <w:right w:val="none" w:sz="0" w:space="0" w:color="auto"/>
      </w:divBdr>
      <w:divsChild>
        <w:div w:id="364599159">
          <w:marLeft w:val="0"/>
          <w:marRight w:val="0"/>
          <w:marTop w:val="0"/>
          <w:marBottom w:val="0"/>
          <w:divBdr>
            <w:top w:val="none" w:sz="0" w:space="0" w:color="auto"/>
            <w:left w:val="none" w:sz="0" w:space="0" w:color="auto"/>
            <w:bottom w:val="none" w:sz="0" w:space="0" w:color="auto"/>
            <w:right w:val="none" w:sz="0" w:space="0" w:color="auto"/>
          </w:divBdr>
          <w:divsChild>
            <w:div w:id="1667709871">
              <w:marLeft w:val="0"/>
              <w:marRight w:val="0"/>
              <w:marTop w:val="0"/>
              <w:marBottom w:val="0"/>
              <w:divBdr>
                <w:top w:val="none" w:sz="0" w:space="0" w:color="auto"/>
                <w:left w:val="none" w:sz="0" w:space="0" w:color="auto"/>
                <w:bottom w:val="none" w:sz="0" w:space="0" w:color="auto"/>
                <w:right w:val="none" w:sz="0" w:space="0" w:color="auto"/>
              </w:divBdr>
            </w:div>
            <w:div w:id="1842350515">
              <w:marLeft w:val="0"/>
              <w:marRight w:val="0"/>
              <w:marTop w:val="0"/>
              <w:marBottom w:val="0"/>
              <w:divBdr>
                <w:top w:val="none" w:sz="0" w:space="0" w:color="auto"/>
                <w:left w:val="none" w:sz="0" w:space="0" w:color="auto"/>
                <w:bottom w:val="none" w:sz="0" w:space="0" w:color="auto"/>
                <w:right w:val="none" w:sz="0" w:space="0" w:color="auto"/>
              </w:divBdr>
              <w:divsChild>
                <w:div w:id="1268544236">
                  <w:marLeft w:val="0"/>
                  <w:marRight w:val="0"/>
                  <w:marTop w:val="0"/>
                  <w:marBottom w:val="0"/>
                  <w:divBdr>
                    <w:top w:val="none" w:sz="0" w:space="0" w:color="auto"/>
                    <w:left w:val="none" w:sz="0" w:space="0" w:color="auto"/>
                    <w:bottom w:val="none" w:sz="0" w:space="0" w:color="auto"/>
                    <w:right w:val="none" w:sz="0" w:space="0" w:color="auto"/>
                  </w:divBdr>
                  <w:divsChild>
                    <w:div w:id="1043095151">
                      <w:marLeft w:val="0"/>
                      <w:marRight w:val="0"/>
                      <w:marTop w:val="0"/>
                      <w:marBottom w:val="0"/>
                      <w:divBdr>
                        <w:top w:val="none" w:sz="0" w:space="0" w:color="auto"/>
                        <w:left w:val="none" w:sz="0" w:space="0" w:color="auto"/>
                        <w:bottom w:val="none" w:sz="0" w:space="0" w:color="auto"/>
                        <w:right w:val="none" w:sz="0" w:space="0" w:color="auto"/>
                      </w:divBdr>
                    </w:div>
                    <w:div w:id="17764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g5.us3.list-manage.com/track/click?u=c2ea6255e95561e2901ff0074&amp;id=eaf67fb765&amp;e=adb01ff26c" TargetMode="External"/><Relationship Id="rId5" Type="http://schemas.openxmlformats.org/officeDocument/2006/relationships/hyperlink" Target="https://lag5.us3.list-manage.com/track/click?u=c2ea6255e95561e2901ff0074&amp;id=f9d6a09623&amp;e=adb01ff26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744</Words>
  <Characters>4242</Characters>
  <Application>Microsoft Office Word</Application>
  <DocSecurity>0</DocSecurity>
  <Lines>35</Lines>
  <Paragraphs>9</Paragraphs>
  <ScaleCrop>false</ScaleCrop>
  <Company>Grizli777</Company>
  <LinksUpToDate>false</LinksUpToDate>
  <CharactersWithSpaces>4977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Windows korisnik</cp:lastModifiedBy>
  <cp:revision>1</cp:revision>
  <dcterms:created xsi:type="dcterms:W3CDTF">2023-02-08T08:22:00Z</dcterms:created>
  <dcterms:modified xsi:type="dcterms:W3CDTF">2023-02-08T08:24:00Z</dcterms:modified>
</cp:coreProperties>
</file>