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B7" w:rsidRPr="000446B7" w:rsidRDefault="000446B7" w:rsidP="000446B7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color w:val="060606"/>
          <w:sz w:val="17"/>
          <w:szCs w:val="17"/>
          <w:lang w:eastAsia="hr-HR"/>
        </w:rPr>
      </w:pPr>
      <w:hyperlink r:id="rId5" w:history="1">
        <w:r w:rsidRPr="000446B7">
          <w:rPr>
            <w:rFonts w:ascii="Verdana" w:eastAsia="Times New Roman" w:hAnsi="Verdana" w:cs="Times New Roman"/>
            <w:i/>
            <w:iCs/>
            <w:color w:val="060606"/>
            <w:sz w:val="17"/>
            <w:lang w:eastAsia="hr-HR"/>
          </w:rPr>
          <w:t>KLIKNITE OVDJE ZA PRIKAZ U WEB PREGLEDNIKU</w:t>
        </w:r>
      </w:hyperlink>
    </w:p>
    <w:tbl>
      <w:tblPr>
        <w:tblW w:w="9000" w:type="dxa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00"/>
        <w:gridCol w:w="300"/>
        <w:gridCol w:w="7200"/>
        <w:gridCol w:w="300"/>
        <w:gridCol w:w="600"/>
      </w:tblGrid>
      <w:tr w:rsidR="000446B7" w:rsidRPr="000446B7" w:rsidTr="000446B7">
        <w:trPr>
          <w:tblCellSpacing w:w="0" w:type="dxa"/>
          <w:jc w:val="center"/>
        </w:trPr>
        <w:tc>
          <w:tcPr>
            <w:tcW w:w="9000" w:type="dxa"/>
            <w:gridSpan w:val="5"/>
            <w:shd w:val="clear" w:color="auto" w:fill="FFFFFF"/>
            <w:vAlign w:val="bottom"/>
            <w:hideMark/>
          </w:tcPr>
          <w:p w:rsidR="000446B7" w:rsidRPr="000446B7" w:rsidRDefault="000446B7" w:rsidP="000446B7">
            <w:pPr>
              <w:spacing w:after="0" w:line="0" w:lineRule="atLeast"/>
              <w:jc w:val="center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  <w:r>
              <w:rPr>
                <w:rFonts w:ascii="Verdana" w:eastAsia="Times New Roman" w:hAnsi="Verdana" w:cs="Times New Roman"/>
                <w:noProof/>
                <w:color w:val="8C8C8C"/>
                <w:sz w:val="18"/>
                <w:szCs w:val="18"/>
                <w:lang w:eastAsia="hr-HR"/>
              </w:rPr>
              <w:drawing>
                <wp:inline distT="0" distB="0" distL="0" distR="0">
                  <wp:extent cx="4763135" cy="1169035"/>
                  <wp:effectExtent l="0" t="0" r="0" b="0"/>
                  <wp:docPr id="1" name="Picture 1" descr="eufondovi.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ufondovi.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3135" cy="11690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446B7" w:rsidRPr="000446B7" w:rsidTr="000446B7">
        <w:trPr>
          <w:trHeight w:val="1200"/>
          <w:tblCellSpacing w:w="0" w:type="dxa"/>
          <w:jc w:val="center"/>
        </w:trPr>
        <w:tc>
          <w:tcPr>
            <w:tcW w:w="600" w:type="dxa"/>
            <w:shd w:val="clear" w:color="auto" w:fill="F1DFBE"/>
            <w:vAlign w:val="center"/>
            <w:hideMark/>
          </w:tcPr>
          <w:p w:rsidR="000446B7" w:rsidRP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</w:p>
        </w:tc>
        <w:tc>
          <w:tcPr>
            <w:tcW w:w="7800" w:type="dxa"/>
            <w:gridSpan w:val="3"/>
            <w:shd w:val="clear" w:color="auto" w:fill="F1DFBE"/>
            <w:vAlign w:val="center"/>
            <w:hideMark/>
          </w:tcPr>
          <w:p w:rsidR="000446B7" w:rsidRPr="000446B7" w:rsidRDefault="000446B7" w:rsidP="000446B7">
            <w:pPr>
              <w:pBdr>
                <w:bottom w:val="single" w:sz="6" w:space="4" w:color="BDBDBD"/>
              </w:pBdr>
              <w:spacing w:after="0" w:line="240" w:lineRule="auto"/>
              <w:jc w:val="center"/>
              <w:outlineLvl w:val="2"/>
              <w:rPr>
                <w:rFonts w:ascii="Verdana" w:eastAsia="Times New Roman" w:hAnsi="Verdana" w:cs="Times New Roman"/>
                <w:b/>
                <w:bCs/>
                <w:color w:val="8C8C8C"/>
                <w:sz w:val="27"/>
                <w:szCs w:val="27"/>
                <w:lang w:eastAsia="hr-HR"/>
              </w:rPr>
            </w:pPr>
            <w:r w:rsidRPr="000446B7">
              <w:rPr>
                <w:rFonts w:ascii="Verdana" w:eastAsia="Times New Roman" w:hAnsi="Verdana" w:cs="Times New Roman"/>
                <w:b/>
                <w:bCs/>
                <w:color w:val="8C8C8C"/>
                <w:sz w:val="27"/>
                <w:szCs w:val="27"/>
                <w:lang w:eastAsia="hr-HR"/>
              </w:rPr>
              <w:br/>
              <w:t>Intenzitet potpore do 70%</w:t>
            </w:r>
            <w:r w:rsidRPr="000446B7">
              <w:rPr>
                <w:rFonts w:ascii="Verdana" w:eastAsia="Times New Roman" w:hAnsi="Verdana" w:cs="Times New Roman"/>
                <w:b/>
                <w:bCs/>
                <w:color w:val="8C8C8C"/>
                <w:sz w:val="27"/>
                <w:szCs w:val="27"/>
                <w:lang w:eastAsia="hr-HR"/>
              </w:rPr>
              <w:br/>
              <w:t> </w:t>
            </w:r>
          </w:p>
          <w:p w:rsidR="000446B7" w:rsidRPr="000446B7" w:rsidRDefault="000446B7" w:rsidP="000446B7">
            <w:pPr>
              <w:spacing w:before="150" w:after="150" w:line="240" w:lineRule="auto"/>
              <w:ind w:left="150" w:right="150"/>
              <w:jc w:val="center"/>
              <w:outlineLvl w:val="3"/>
              <w:rPr>
                <w:rFonts w:ascii="Verdana" w:eastAsia="Times New Roman" w:hAnsi="Verdana" w:cs="Times New Roman"/>
                <w:b/>
                <w:bCs/>
                <w:color w:val="8C8C8C"/>
                <w:sz w:val="21"/>
                <w:szCs w:val="21"/>
                <w:lang w:eastAsia="hr-HR"/>
              </w:rPr>
            </w:pPr>
            <w:r w:rsidRPr="000446B7">
              <w:rPr>
                <w:rFonts w:ascii="Verdana" w:eastAsia="Times New Roman" w:hAnsi="Verdana" w:cs="Times New Roman"/>
                <w:b/>
                <w:bCs/>
                <w:color w:val="333399"/>
                <w:sz w:val="21"/>
                <w:szCs w:val="21"/>
                <w:lang w:eastAsia="hr-HR"/>
              </w:rPr>
              <w:t>Rok za prijavu do 30. rujna</w:t>
            </w:r>
            <w:r w:rsidRPr="000446B7">
              <w:rPr>
                <w:rFonts w:ascii="Verdana" w:eastAsia="Times New Roman" w:hAnsi="Verdana" w:cs="Times New Roman"/>
                <w:b/>
                <w:bCs/>
                <w:color w:val="8C8C8C"/>
                <w:sz w:val="21"/>
                <w:szCs w:val="21"/>
                <w:lang w:eastAsia="hr-HR"/>
              </w:rPr>
              <w:br/>
              <w:t> </w:t>
            </w:r>
          </w:p>
        </w:tc>
        <w:tc>
          <w:tcPr>
            <w:tcW w:w="600" w:type="dxa"/>
            <w:shd w:val="clear" w:color="auto" w:fill="F1DFBE"/>
            <w:vAlign w:val="center"/>
            <w:hideMark/>
          </w:tcPr>
          <w:p w:rsidR="000446B7" w:rsidRP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</w:p>
        </w:tc>
      </w:tr>
      <w:tr w:rsidR="000446B7" w:rsidRPr="000446B7" w:rsidTr="000446B7">
        <w:trPr>
          <w:trHeight w:val="300"/>
          <w:tblCellSpacing w:w="0" w:type="dxa"/>
          <w:jc w:val="center"/>
        </w:trPr>
        <w:tc>
          <w:tcPr>
            <w:tcW w:w="600" w:type="dxa"/>
            <w:shd w:val="clear" w:color="auto" w:fill="F1DFBE"/>
            <w:vAlign w:val="center"/>
            <w:hideMark/>
          </w:tcPr>
          <w:p w:rsidR="000446B7" w:rsidRP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0446B7" w:rsidRP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</w:p>
        </w:tc>
        <w:tc>
          <w:tcPr>
            <w:tcW w:w="7200" w:type="dxa"/>
            <w:shd w:val="clear" w:color="auto" w:fill="FFFFFF"/>
            <w:vAlign w:val="center"/>
            <w:hideMark/>
          </w:tcPr>
          <w:p w:rsidR="000446B7" w:rsidRP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0446B7" w:rsidRP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F1DFBE"/>
            <w:vAlign w:val="center"/>
            <w:hideMark/>
          </w:tcPr>
          <w:p w:rsidR="000446B7" w:rsidRP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</w:p>
        </w:tc>
      </w:tr>
      <w:tr w:rsidR="000446B7" w:rsidRPr="000446B7" w:rsidTr="000446B7">
        <w:trPr>
          <w:tblCellSpacing w:w="0" w:type="dxa"/>
          <w:jc w:val="center"/>
        </w:trPr>
        <w:tc>
          <w:tcPr>
            <w:tcW w:w="600" w:type="dxa"/>
            <w:shd w:val="clear" w:color="auto" w:fill="F1DFBE"/>
            <w:vAlign w:val="center"/>
            <w:hideMark/>
          </w:tcPr>
          <w:p w:rsidR="000446B7" w:rsidRP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0446B7" w:rsidRP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  <w:r w:rsidRPr="000446B7"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  <w:br/>
            </w:r>
            <w:r w:rsidRPr="000446B7"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  <w:br/>
              <w:t> </w:t>
            </w:r>
          </w:p>
        </w:tc>
        <w:tc>
          <w:tcPr>
            <w:tcW w:w="7200" w:type="dxa"/>
            <w:shd w:val="clear" w:color="auto" w:fill="FFFFFF"/>
            <w:vAlign w:val="center"/>
            <w:hideMark/>
          </w:tcPr>
          <w:p w:rsidR="000446B7" w:rsidRPr="000446B7" w:rsidRDefault="000446B7" w:rsidP="000446B7">
            <w:pPr>
              <w:spacing w:before="150" w:after="150" w:line="240" w:lineRule="auto"/>
              <w:jc w:val="both"/>
              <w:outlineLvl w:val="0"/>
              <w:rPr>
                <w:rFonts w:ascii="Verdana" w:eastAsia="Times New Roman" w:hAnsi="Verdana" w:cs="Times New Roman"/>
                <w:b/>
                <w:bCs/>
                <w:color w:val="8C8C8C"/>
                <w:kern w:val="36"/>
                <w:sz w:val="21"/>
                <w:szCs w:val="21"/>
                <w:lang w:eastAsia="hr-HR"/>
              </w:rPr>
            </w:pPr>
            <w:r>
              <w:rPr>
                <w:rFonts w:ascii="Verdana" w:eastAsia="Times New Roman" w:hAnsi="Verdana" w:cs="Times New Roman"/>
                <w:b/>
                <w:bCs/>
                <w:noProof/>
                <w:color w:val="8C8C8C"/>
                <w:kern w:val="36"/>
                <w:sz w:val="18"/>
                <w:szCs w:val="18"/>
                <w:lang w:eastAsia="hr-HR"/>
              </w:rPr>
              <w:drawing>
                <wp:anchor distT="0" distB="0" distL="95250" distR="9525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3200400" cy="2000250"/>
                  <wp:effectExtent l="19050" t="0" r="0" b="0"/>
                  <wp:wrapSquare wrapText="bothSides"/>
                  <wp:docPr id="5" name="Picture 2" descr="http://eufondovi.hr/media/com_acymailing/upload/eufondovi_nasad_jabuk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eufondovi.hr/media/com_acymailing/upload/eufondovi_nasad_jabuk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00400" cy="200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446B7">
              <w:rPr>
                <w:rFonts w:ascii="Verdana" w:eastAsia="Times New Roman" w:hAnsi="Verdana" w:cs="Times New Roman"/>
                <w:b/>
                <w:bCs/>
                <w:color w:val="060606"/>
                <w:kern w:val="36"/>
                <w:sz w:val="18"/>
                <w:szCs w:val="18"/>
                <w:lang w:eastAsia="hr-HR"/>
              </w:rPr>
              <w:t>Agencija za plaćanja u poljoprivredi objavila je natječaj za provedbu tipa operacije 4.1.1 „Restrukturiranje, modernizacija i povećanje konkurentnosti poljoprivrednih gospodarstava“ -  podizanje novih i/ili restrukturiranje postojećih višegodišnjih nasada.</w:t>
            </w:r>
            <w:r w:rsidRPr="000446B7">
              <w:rPr>
                <w:rFonts w:ascii="Verdana" w:eastAsia="Times New Roman" w:hAnsi="Verdana" w:cs="Times New Roman"/>
                <w:b/>
                <w:bCs/>
                <w:color w:val="060606"/>
                <w:kern w:val="36"/>
                <w:sz w:val="18"/>
                <w:szCs w:val="18"/>
                <w:lang w:eastAsia="hr-HR"/>
              </w:rPr>
              <w:br/>
              <w:t xml:space="preserve">  </w:t>
            </w:r>
            <w:r w:rsidRPr="000446B7">
              <w:rPr>
                <w:rFonts w:ascii="Verdana" w:eastAsia="Times New Roman" w:hAnsi="Verdana" w:cs="Times New Roman"/>
                <w:b/>
                <w:bCs/>
                <w:color w:val="8C8C8C"/>
                <w:kern w:val="36"/>
                <w:sz w:val="21"/>
                <w:szCs w:val="21"/>
                <w:lang w:eastAsia="hr-HR"/>
              </w:rPr>
              <w:br/>
            </w:r>
            <w:r w:rsidRPr="000446B7">
              <w:rPr>
                <w:rFonts w:ascii="Verdana" w:eastAsia="Times New Roman" w:hAnsi="Verdana" w:cs="Times New Roman"/>
                <w:b/>
                <w:bCs/>
                <w:color w:val="8C8C8C"/>
                <w:kern w:val="36"/>
                <w:sz w:val="21"/>
                <w:szCs w:val="21"/>
                <w:lang w:eastAsia="hr-HR"/>
              </w:rPr>
              <w:br/>
            </w:r>
            <w:r w:rsidRPr="000446B7">
              <w:rPr>
                <w:rFonts w:ascii="Verdana" w:eastAsia="Times New Roman" w:hAnsi="Verdana" w:cs="Times New Roman"/>
                <w:b/>
                <w:bCs/>
                <w:color w:val="333399"/>
                <w:kern w:val="36"/>
                <w:sz w:val="18"/>
                <w:szCs w:val="18"/>
                <w:u w:val="single"/>
                <w:lang w:eastAsia="hr-HR"/>
              </w:rPr>
              <w:t xml:space="preserve">Prihvatljivi korisnici i ekonomska veličina PG-a  </w:t>
            </w:r>
          </w:p>
          <w:p w:rsidR="000446B7" w:rsidRP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Prihvatljivi korisnici su pravne i fizičke osobe </w:t>
            </w:r>
            <w:r w:rsidRPr="000446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hr-HR"/>
              </w:rPr>
              <w:t>upisane u Upisnik poljoprivrednika</w:t>
            </w: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 prije 21. travnja 2020. godine, mladi poljoprivrednici koji su zahtjev za upis u Upisnik poljoprivrednika podnijeli prije objave nacrta Natječaja na e-savjetovanju (prije 21. travnja 2021. godine) te proizvođačke organizacije priznate u sektoru voća (sukladno posebnim propisima kojima se uređuje rad proizvođačkih organizacija).</w:t>
            </w: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br/>
            </w: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br/>
              <w:t xml:space="preserve">Prijavitelj (izuzev zadruga i proizvođačkih organizacija) mora dokazati ekonomsku veličinu poljoprivrednog gospodarstva od najmanje </w:t>
            </w:r>
            <w:r w:rsidRPr="000446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hr-HR"/>
              </w:rPr>
              <w:t>6.000 EUR.</w:t>
            </w: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Pr="000446B7"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  <w:br/>
            </w:r>
            <w:r w:rsidRPr="000446B7"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  <w:br/>
            </w:r>
            <w:r w:rsidRPr="000446B7">
              <w:rPr>
                <w:rFonts w:ascii="Verdana" w:eastAsia="Times New Roman" w:hAnsi="Verdana" w:cs="Times New Roman"/>
                <w:b/>
                <w:bCs/>
                <w:color w:val="333399"/>
                <w:sz w:val="18"/>
                <w:u w:val="single"/>
                <w:lang w:eastAsia="hr-HR"/>
              </w:rPr>
              <w:t>Visina i intenzitet potpore</w:t>
            </w:r>
            <w:r w:rsidRPr="000446B7"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  <w:br/>
              <w:t> </w:t>
            </w:r>
          </w:p>
          <w:p w:rsidR="000446B7" w:rsidRP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Ukupan iznos raspoloživih sredstava javne potpore po ovom natječaju je </w:t>
            </w:r>
            <w:r w:rsidRPr="000446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hr-HR"/>
              </w:rPr>
              <w:t>200 milijuna kuna.</w:t>
            </w: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br/>
            </w: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br/>
              <w:t>Najniža visina javne potpore po projektu iznosi 5.000 EUR.</w:t>
            </w: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br/>
            </w: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br/>
              <w:t xml:space="preserve">Najviša visina javne potpore po projektu iznosi </w:t>
            </w:r>
            <w:r w:rsidRPr="000446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hr-HR"/>
              </w:rPr>
              <w:t>750.000 EUR</w:t>
            </w: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, odnosno do 100.000 EUR za korisnike čiji je zbroj vrijednosti prometa kroz tri godine koje prethode godini u kojoj je podnesen zahtjev za potporu manji od 100.000 EUR, korisnike koji nisu u obvezi vođenja poslovnih knjiga i korisnike obveznike vođenja poslovnih knjiga koji ne posjeduju financijsku dokumentaciju za prethodnu godinu.</w:t>
            </w: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br/>
            </w: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br/>
              <w:t>Razina potpore:</w:t>
            </w: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br/>
            </w: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lastRenderedPageBreak/>
              <w:br/>
              <w:t xml:space="preserve">- do </w:t>
            </w:r>
            <w:r w:rsidRPr="000446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hr-HR"/>
              </w:rPr>
              <w:t>50%</w:t>
            </w: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 od ukupno prihvatljivih troškova projekta</w:t>
            </w: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br/>
            </w: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br/>
              <w:t xml:space="preserve">Intenzitet potpore može se uvećati za </w:t>
            </w:r>
            <w:r w:rsidRPr="000446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hr-HR"/>
              </w:rPr>
              <w:t>dodatnih 20%</w:t>
            </w: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 u sljedećim slučajevima:</w:t>
            </w:r>
          </w:p>
          <w:p w:rsidR="000446B7" w:rsidRPr="000446B7" w:rsidRDefault="000446B7" w:rsidP="000446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ulaganje provodi mladi poljoprivrednik</w:t>
            </w:r>
          </w:p>
          <w:p w:rsidR="000446B7" w:rsidRPr="000446B7" w:rsidRDefault="000446B7" w:rsidP="000446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ulaganje se odvija u planinskom području, području sa značajnim prirodnim ograničenjima ili ostalim područjima s posebnim ograničenjima</w:t>
            </w:r>
          </w:p>
          <w:p w:rsidR="000446B7" w:rsidRPr="000446B7" w:rsidRDefault="000446B7" w:rsidP="000446B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ulaganje se provodi kao zajednički projekt</w:t>
            </w:r>
          </w:p>
          <w:p w:rsidR="000446B7" w:rsidRP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Intenzitet kombinirane potpore ne smije biti veći od </w:t>
            </w:r>
            <w:r w:rsidRPr="000446B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lang w:eastAsia="hr-HR"/>
              </w:rPr>
              <w:t>70%</w:t>
            </w: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 ukupno prihvatljivih troškova projekta.</w:t>
            </w:r>
            <w:r w:rsidRPr="000446B7"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  <w:br/>
              <w:t> </w:t>
            </w:r>
          </w:p>
          <w:p w:rsidR="000446B7" w:rsidRP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  <w:r w:rsidRPr="000446B7">
              <w:rPr>
                <w:rFonts w:ascii="Verdana" w:eastAsia="Times New Roman" w:hAnsi="Verdana" w:cs="Times New Roman"/>
                <w:b/>
                <w:bCs/>
                <w:color w:val="333399"/>
                <w:sz w:val="18"/>
                <w:u w:val="single"/>
                <w:lang w:eastAsia="hr-HR"/>
              </w:rPr>
              <w:t>Prihvatljive aktivnosti i troškovi</w:t>
            </w:r>
            <w:r w:rsidRPr="000446B7"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  <w:br/>
            </w:r>
            <w:r w:rsidRPr="000446B7"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  <w:br/>
            </w:r>
            <w:r w:rsidRPr="000446B7">
              <w:rPr>
                <w:rFonts w:ascii="Verdana" w:eastAsia="Times New Roman" w:hAnsi="Verdana" w:cs="Times New Roman"/>
                <w:color w:val="060606"/>
                <w:sz w:val="18"/>
                <w:szCs w:val="18"/>
                <w:lang w:eastAsia="hr-HR"/>
              </w:rPr>
              <w:t>Dozvoljene (prihvatljive) aktivnosti za ovu mjeru su:</w:t>
            </w:r>
          </w:p>
          <w:p w:rsidR="000446B7" w:rsidRPr="000446B7" w:rsidRDefault="000446B7" w:rsidP="000446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uređenje zemljišta u svrhu realizacije projekta</w:t>
            </w:r>
          </w:p>
          <w:p w:rsidR="000446B7" w:rsidRPr="000446B7" w:rsidRDefault="000446B7" w:rsidP="000446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  <w:r w:rsidRPr="000446B7">
              <w:rPr>
                <w:rFonts w:ascii="Verdana" w:eastAsia="Times New Roman" w:hAnsi="Verdana" w:cs="Times New Roman"/>
                <w:color w:val="060606"/>
                <w:sz w:val="18"/>
                <w:szCs w:val="18"/>
                <w:lang w:eastAsia="hr-HR"/>
              </w:rPr>
              <w:t>trajnije poboljšanje kvalitete zemljišta u svrhu realizacije projekta</w:t>
            </w:r>
          </w:p>
          <w:p w:rsidR="000446B7" w:rsidRPr="000446B7" w:rsidRDefault="000446B7" w:rsidP="000446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  <w:r w:rsidRPr="000446B7">
              <w:rPr>
                <w:rFonts w:ascii="Verdana" w:eastAsia="Times New Roman" w:hAnsi="Verdana" w:cs="Times New Roman"/>
                <w:color w:val="060606"/>
                <w:sz w:val="18"/>
                <w:szCs w:val="18"/>
                <w:lang w:eastAsia="hr-HR"/>
              </w:rPr>
              <w:t>priprema terena/tla za sadnju</w:t>
            </w:r>
          </w:p>
          <w:p w:rsidR="000446B7" w:rsidRPr="000446B7" w:rsidRDefault="000446B7" w:rsidP="000446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  <w:r w:rsidRPr="000446B7">
              <w:rPr>
                <w:rFonts w:ascii="Verdana" w:eastAsia="Times New Roman" w:hAnsi="Verdana" w:cs="Times New Roman"/>
                <w:color w:val="060606"/>
                <w:sz w:val="18"/>
                <w:szCs w:val="18"/>
                <w:lang w:eastAsia="hr-HR"/>
              </w:rPr>
              <w:t>sadnja novih i/ili restrukturiranje postojećih višegodišnjih nasada i podizanje plastenika</w:t>
            </w:r>
          </w:p>
          <w:p w:rsidR="000446B7" w:rsidRPr="000446B7" w:rsidRDefault="000446B7" w:rsidP="000446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  <w:r w:rsidRPr="000446B7">
              <w:rPr>
                <w:rFonts w:ascii="Verdana" w:eastAsia="Times New Roman" w:hAnsi="Verdana" w:cs="Times New Roman"/>
                <w:color w:val="060606"/>
                <w:sz w:val="18"/>
                <w:szCs w:val="18"/>
                <w:lang w:eastAsia="hr-HR"/>
              </w:rPr>
              <w:t>opremanje višegodišnjih nasada</w:t>
            </w:r>
          </w:p>
          <w:p w:rsidR="000446B7" w:rsidRPr="000446B7" w:rsidRDefault="000446B7" w:rsidP="000446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  <w:r w:rsidRPr="000446B7">
              <w:rPr>
                <w:rFonts w:ascii="Verdana" w:eastAsia="Times New Roman" w:hAnsi="Verdana" w:cs="Times New Roman"/>
                <w:color w:val="060606"/>
                <w:sz w:val="18"/>
                <w:szCs w:val="18"/>
                <w:lang w:eastAsia="hr-HR"/>
              </w:rPr>
              <w:t>poljoprivredna mehanizacija, oprema i gospodarska vozila za vlastitu primarnu poljoprivrednu proizvodnju u sektoru voćarstva</w:t>
            </w:r>
          </w:p>
          <w:p w:rsidR="000446B7" w:rsidRPr="000446B7" w:rsidRDefault="000446B7" w:rsidP="000446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  <w:r w:rsidRPr="000446B7">
              <w:rPr>
                <w:rFonts w:ascii="Verdana" w:eastAsia="Times New Roman" w:hAnsi="Verdana" w:cs="Times New Roman"/>
                <w:color w:val="060606"/>
                <w:sz w:val="18"/>
                <w:szCs w:val="18"/>
                <w:lang w:eastAsia="hr-HR"/>
              </w:rPr>
              <w:t>kupnja zemljišta</w:t>
            </w:r>
          </w:p>
          <w:p w:rsidR="000446B7" w:rsidRPr="000446B7" w:rsidRDefault="000446B7" w:rsidP="000446B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  <w:r w:rsidRPr="000446B7">
              <w:rPr>
                <w:rFonts w:ascii="Verdana" w:eastAsia="Times New Roman" w:hAnsi="Verdana" w:cs="Times New Roman"/>
                <w:color w:val="060606"/>
                <w:sz w:val="18"/>
                <w:szCs w:val="18"/>
                <w:lang w:eastAsia="hr-HR"/>
              </w:rPr>
              <w:t>opći troškovi  </w:t>
            </w:r>
          </w:p>
          <w:p w:rsidR="000446B7" w:rsidRP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  <w:r w:rsidRPr="000446B7"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  <w:br/>
            </w:r>
            <w:r w:rsidRPr="000446B7">
              <w:rPr>
                <w:rFonts w:ascii="Verdana" w:eastAsia="Times New Roman" w:hAnsi="Verdana" w:cs="Times New Roman"/>
                <w:b/>
                <w:bCs/>
                <w:color w:val="CC0000"/>
                <w:sz w:val="18"/>
                <w:lang w:eastAsia="hr-HR"/>
              </w:rPr>
              <w:t xml:space="preserve">Rok za prijavu projekata je od 16. srpnja 2021. godine od 12:00 sati do 30. rujna 2021. godine do 12:00 sati.  </w:t>
            </w:r>
            <w:r w:rsidRPr="000446B7"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  <w:br/>
              <w:t> </w:t>
            </w:r>
          </w:p>
          <w:p w:rsid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Prednost kod dodjele imaju projekti s utvrđenim većim brojem bodova. U slučaju da dva ili više zahtjeva za potporu imaju isti broj bodova, prednost imaju, između ostalog, oni sa ranijim vremenom podnošenja te oni za koje nije tražena dopuna.</w:t>
            </w:r>
          </w:p>
          <w:p w:rsid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  <w:p w:rsid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Više o ovom natječaju možete pronaći </w:t>
            </w:r>
            <w:hyperlink r:id="rId8" w:history="1">
              <w:r w:rsidRPr="000446B7">
                <w:rPr>
                  <w:rFonts w:ascii="Verdana" w:eastAsia="Times New Roman" w:hAnsi="Verdana" w:cs="Times New Roman"/>
                  <w:i/>
                  <w:iCs/>
                  <w:color w:val="0E2042"/>
                  <w:sz w:val="18"/>
                  <w:u w:val="single"/>
                  <w:lang w:eastAsia="hr-HR"/>
                </w:rPr>
                <w:t>ovdje</w:t>
              </w:r>
            </w:hyperlink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>.</w:t>
            </w:r>
          </w:p>
          <w:p w:rsid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Više informacija o ostalim natječajima možete pronaći </w:t>
            </w:r>
            <w:hyperlink r:id="rId9" w:history="1">
              <w:r w:rsidRPr="000446B7">
                <w:rPr>
                  <w:rFonts w:ascii="Verdana" w:eastAsia="Times New Roman" w:hAnsi="Verdana" w:cs="Times New Roman"/>
                  <w:i/>
                  <w:iCs/>
                  <w:color w:val="0E2042"/>
                  <w:sz w:val="18"/>
                  <w:u w:val="single"/>
                  <w:lang w:eastAsia="hr-HR"/>
                </w:rPr>
                <w:t>ovdje</w:t>
              </w:r>
            </w:hyperlink>
            <w:r w:rsidRPr="000446B7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</w:p>
          <w:p w:rsid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r-HR"/>
              </w:rPr>
            </w:pPr>
          </w:p>
          <w:p w:rsidR="000446B7" w:rsidRP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i/>
                <w:iCs/>
                <w:color w:val="333333"/>
                <w:sz w:val="14"/>
                <w:lang w:eastAsia="hr-HR"/>
              </w:rPr>
            </w:pPr>
          </w:p>
          <w:p w:rsidR="000446B7" w:rsidRPr="000446B7" w:rsidRDefault="000446B7" w:rsidP="000446B7">
            <w:pPr>
              <w:spacing w:after="0" w:line="240" w:lineRule="auto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0446B7" w:rsidRP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F1DFBE"/>
            <w:vAlign w:val="center"/>
            <w:hideMark/>
          </w:tcPr>
          <w:p w:rsidR="000446B7" w:rsidRP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</w:p>
        </w:tc>
      </w:tr>
      <w:tr w:rsidR="000446B7" w:rsidRPr="000446B7" w:rsidTr="000446B7">
        <w:trPr>
          <w:trHeight w:val="300"/>
          <w:tblCellSpacing w:w="0" w:type="dxa"/>
          <w:jc w:val="center"/>
        </w:trPr>
        <w:tc>
          <w:tcPr>
            <w:tcW w:w="600" w:type="dxa"/>
            <w:shd w:val="clear" w:color="auto" w:fill="F1DFBE"/>
            <w:vAlign w:val="center"/>
            <w:hideMark/>
          </w:tcPr>
          <w:p w:rsidR="000446B7" w:rsidRP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0446B7" w:rsidRP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</w:p>
        </w:tc>
        <w:tc>
          <w:tcPr>
            <w:tcW w:w="7200" w:type="dxa"/>
            <w:shd w:val="clear" w:color="auto" w:fill="FFFFFF"/>
            <w:vAlign w:val="center"/>
            <w:hideMark/>
          </w:tcPr>
          <w:p w:rsidR="000446B7" w:rsidRP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</w:p>
        </w:tc>
        <w:tc>
          <w:tcPr>
            <w:tcW w:w="300" w:type="dxa"/>
            <w:shd w:val="clear" w:color="auto" w:fill="FFFFFF"/>
            <w:vAlign w:val="center"/>
            <w:hideMark/>
          </w:tcPr>
          <w:p w:rsidR="000446B7" w:rsidRP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</w:p>
        </w:tc>
        <w:tc>
          <w:tcPr>
            <w:tcW w:w="600" w:type="dxa"/>
            <w:shd w:val="clear" w:color="auto" w:fill="F1DFBE"/>
            <w:vAlign w:val="center"/>
            <w:hideMark/>
          </w:tcPr>
          <w:p w:rsidR="000446B7" w:rsidRPr="000446B7" w:rsidRDefault="000446B7" w:rsidP="000446B7">
            <w:pPr>
              <w:spacing w:after="0" w:line="240" w:lineRule="auto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</w:p>
        </w:tc>
      </w:tr>
      <w:tr w:rsidR="000446B7" w:rsidRPr="000446B7" w:rsidTr="000446B7">
        <w:trPr>
          <w:tblCellSpacing w:w="0" w:type="dxa"/>
          <w:jc w:val="center"/>
        </w:trPr>
        <w:tc>
          <w:tcPr>
            <w:tcW w:w="9000" w:type="dxa"/>
            <w:gridSpan w:val="5"/>
            <w:shd w:val="clear" w:color="auto" w:fill="F1DFBE"/>
            <w:vAlign w:val="center"/>
            <w:hideMark/>
          </w:tcPr>
          <w:p w:rsidR="000446B7" w:rsidRPr="000446B7" w:rsidRDefault="000446B7" w:rsidP="000446B7">
            <w:pPr>
              <w:spacing w:after="0" w:line="0" w:lineRule="atLeast"/>
              <w:jc w:val="both"/>
              <w:rPr>
                <w:rFonts w:ascii="Verdana" w:eastAsia="Times New Roman" w:hAnsi="Verdana" w:cs="Times New Roman"/>
                <w:color w:val="8C8C8C"/>
                <w:sz w:val="18"/>
                <w:szCs w:val="18"/>
                <w:lang w:eastAsia="hr-HR"/>
              </w:rPr>
            </w:pPr>
          </w:p>
        </w:tc>
      </w:tr>
    </w:tbl>
    <w:p w:rsidR="00BB4972" w:rsidRDefault="00BB4972" w:rsidP="000446B7">
      <w:pPr>
        <w:shd w:val="clear" w:color="auto" w:fill="FFFFFF"/>
        <w:spacing w:after="0" w:line="240" w:lineRule="auto"/>
        <w:jc w:val="center"/>
      </w:pPr>
    </w:p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544C9"/>
    <w:multiLevelType w:val="multilevel"/>
    <w:tmpl w:val="09EAA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65BEF"/>
    <w:multiLevelType w:val="multilevel"/>
    <w:tmpl w:val="6F988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446B7"/>
    <w:rsid w:val="000446B7"/>
    <w:rsid w:val="000D4A4D"/>
    <w:rsid w:val="001129D4"/>
    <w:rsid w:val="00325C9F"/>
    <w:rsid w:val="00672D33"/>
    <w:rsid w:val="00723511"/>
    <w:rsid w:val="00824ACF"/>
    <w:rsid w:val="00BB4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paragraph" w:styleId="Heading1">
    <w:name w:val="heading 1"/>
    <w:basedOn w:val="Normal"/>
    <w:link w:val="Heading1Char"/>
    <w:uiPriority w:val="9"/>
    <w:qFormat/>
    <w:rsid w:val="000446B7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  <w:lang w:eastAsia="hr-HR"/>
    </w:rPr>
  </w:style>
  <w:style w:type="paragraph" w:styleId="Heading3">
    <w:name w:val="heading 3"/>
    <w:basedOn w:val="Normal"/>
    <w:link w:val="Heading3Char"/>
    <w:uiPriority w:val="9"/>
    <w:qFormat/>
    <w:rsid w:val="000446B7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  <w:lang w:eastAsia="hr-HR"/>
    </w:rPr>
  </w:style>
  <w:style w:type="paragraph" w:styleId="Heading4">
    <w:name w:val="heading 4"/>
    <w:basedOn w:val="Normal"/>
    <w:link w:val="Heading4Char"/>
    <w:uiPriority w:val="9"/>
    <w:qFormat/>
    <w:rsid w:val="000446B7"/>
    <w:pPr>
      <w:spacing w:before="100" w:beforeAutospacing="1" w:after="100" w:afterAutospacing="1" w:line="240" w:lineRule="auto"/>
      <w:outlineLvl w:val="3"/>
    </w:pPr>
    <w:rPr>
      <w:rFonts w:eastAsia="Times New Roman" w:cs="Times New Roman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6B7"/>
    <w:rPr>
      <w:rFonts w:eastAsia="Times New Roman" w:cs="Times New Roman"/>
      <w:b/>
      <w:bCs/>
      <w:kern w:val="36"/>
      <w:sz w:val="48"/>
      <w:szCs w:val="48"/>
      <w:lang w:eastAsia="hr-HR"/>
    </w:rPr>
  </w:style>
  <w:style w:type="character" w:customStyle="1" w:styleId="Heading3Char">
    <w:name w:val="Heading 3 Char"/>
    <w:basedOn w:val="DefaultParagraphFont"/>
    <w:link w:val="Heading3"/>
    <w:uiPriority w:val="9"/>
    <w:rsid w:val="000446B7"/>
    <w:rPr>
      <w:rFonts w:eastAsia="Times New Roman" w:cs="Times New Roman"/>
      <w:b/>
      <w:bCs/>
      <w:sz w:val="27"/>
      <w:szCs w:val="27"/>
      <w:lang w:eastAsia="hr-HR"/>
    </w:rPr>
  </w:style>
  <w:style w:type="character" w:customStyle="1" w:styleId="Heading4Char">
    <w:name w:val="Heading 4 Char"/>
    <w:basedOn w:val="DefaultParagraphFont"/>
    <w:link w:val="Heading4"/>
    <w:uiPriority w:val="9"/>
    <w:rsid w:val="000446B7"/>
    <w:rPr>
      <w:rFonts w:eastAsia="Times New Roman" w:cs="Times New Roman"/>
      <w:b/>
      <w:bCs/>
      <w:lang w:eastAsia="hr-HR"/>
    </w:rPr>
  </w:style>
  <w:style w:type="character" w:styleId="Hyperlink">
    <w:name w:val="Hyperlink"/>
    <w:basedOn w:val="DefaultParagraphFont"/>
    <w:uiPriority w:val="99"/>
    <w:semiHidden/>
    <w:unhideWhenUsed/>
    <w:rsid w:val="000446B7"/>
    <w:rPr>
      <w:color w:val="0000FF"/>
      <w:u w:val="single"/>
    </w:rPr>
  </w:style>
  <w:style w:type="character" w:customStyle="1" w:styleId="acymailingonline">
    <w:name w:val="acymailing_online"/>
    <w:basedOn w:val="DefaultParagraphFont"/>
    <w:rsid w:val="000446B7"/>
  </w:style>
  <w:style w:type="character" w:styleId="Strong">
    <w:name w:val="Strong"/>
    <w:basedOn w:val="DefaultParagraphFont"/>
    <w:uiPriority w:val="22"/>
    <w:qFormat/>
    <w:rsid w:val="000446B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446B7"/>
    <w:pPr>
      <w:spacing w:before="100" w:beforeAutospacing="1" w:after="100" w:afterAutospacing="1" w:line="240" w:lineRule="auto"/>
    </w:pPr>
    <w:rPr>
      <w:rFonts w:eastAsia="Times New Roman" w:cs="Times New Roman"/>
      <w:lang w:eastAsia="hr-HR"/>
    </w:rPr>
  </w:style>
  <w:style w:type="character" w:styleId="Emphasis">
    <w:name w:val="Emphasis"/>
    <w:basedOn w:val="DefaultParagraphFont"/>
    <w:uiPriority w:val="20"/>
    <w:qFormat/>
    <w:rsid w:val="000446B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4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4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2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fondovi.hr/natjecaji/najava-otvoreno-zatvoreno/podizanje-novih-i-ili-restrukturiranje-postojecih-visegodisnjih-nasada?acm=36322_23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eufondovi.hr/index.php?option=com_acymailing&amp;ctrl=archive&amp;task=view&amp;mailid=233&amp;key=oFBJwC5t&amp;subid=36322-FutIJglpfITEB2&amp;tmpl=component&amp;acm=36322_233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ufondovi.hr/natjecaji/najava-otvoreno-zatvoreno?acm=36322_2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513</Words>
  <Characters>2928</Characters>
  <Application>Microsoft Office Word</Application>
  <DocSecurity>0</DocSecurity>
  <Lines>24</Lines>
  <Paragraphs>6</Paragraphs>
  <ScaleCrop>false</ScaleCrop>
  <Company>Grizli777</Company>
  <LinksUpToDate>false</LinksUpToDate>
  <CharactersWithSpaces>3435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2021-06-09T05:58:00Z</dcterms:created>
  <dcterms:modified xsi:type="dcterms:W3CDTF">2021-06-09T06:02:00Z</dcterms:modified>
</cp:coreProperties>
</file>