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0A4" w:rsidRDefault="004630A4" w:rsidP="004630A4">
      <w:pPr>
        <w:spacing w:after="0" w:line="240" w:lineRule="auto"/>
        <w:outlineLvl w:val="0"/>
        <w:rPr>
          <w:rFonts w:eastAsia="Times New Roman" w:cs="Times New Roman"/>
          <w:b/>
          <w:bCs/>
          <w:kern w:val="36"/>
          <w:lang w:eastAsia="hr-HR"/>
        </w:rPr>
      </w:pPr>
      <w:r w:rsidRPr="004630A4">
        <w:rPr>
          <w:rFonts w:eastAsia="Times New Roman" w:cs="Times New Roman"/>
          <w:b/>
          <w:bCs/>
          <w:kern w:val="36"/>
          <w:lang w:eastAsia="hr-HR"/>
        </w:rPr>
        <w:drawing>
          <wp:inline distT="0" distB="0" distL="0" distR="0">
            <wp:extent cx="467995" cy="563245"/>
            <wp:effectExtent l="19050" t="0" r="825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67995" cy="563245"/>
                    </a:xfrm>
                    <a:prstGeom prst="rect">
                      <a:avLst/>
                    </a:prstGeom>
                    <a:noFill/>
                    <a:ln w="9525">
                      <a:noFill/>
                      <a:miter lim="800000"/>
                      <a:headEnd/>
                      <a:tailEnd/>
                    </a:ln>
                  </pic:spPr>
                </pic:pic>
              </a:graphicData>
            </a:graphic>
          </wp:inline>
        </w:drawing>
      </w:r>
    </w:p>
    <w:p w:rsidR="004630A4" w:rsidRPr="004630A4" w:rsidRDefault="004630A4" w:rsidP="004630A4">
      <w:pPr>
        <w:spacing w:after="0" w:line="240" w:lineRule="auto"/>
        <w:outlineLvl w:val="0"/>
        <w:rPr>
          <w:rFonts w:eastAsia="Times New Roman" w:cs="Times New Roman"/>
          <w:b/>
          <w:bCs/>
          <w:kern w:val="36"/>
          <w:lang w:eastAsia="hr-HR"/>
        </w:rPr>
      </w:pPr>
      <w:r w:rsidRPr="004630A4">
        <w:rPr>
          <w:rFonts w:eastAsia="Times New Roman" w:cs="Times New Roman"/>
          <w:b/>
          <w:bCs/>
          <w:kern w:val="36"/>
          <w:lang w:eastAsia="hr-HR"/>
        </w:rPr>
        <w:t>REPUBLIKA HRVATSKA</w:t>
      </w:r>
    </w:p>
    <w:p w:rsidR="004630A4" w:rsidRDefault="004630A4" w:rsidP="004630A4">
      <w:pPr>
        <w:spacing w:after="0" w:line="240" w:lineRule="auto"/>
        <w:outlineLvl w:val="0"/>
        <w:rPr>
          <w:rFonts w:eastAsia="Times New Roman" w:cs="Times New Roman"/>
          <w:b/>
          <w:bCs/>
          <w:kern w:val="36"/>
          <w:lang w:eastAsia="hr-HR"/>
        </w:rPr>
      </w:pPr>
      <w:r w:rsidRPr="004630A4">
        <w:rPr>
          <w:rFonts w:eastAsia="Times New Roman" w:cs="Times New Roman"/>
          <w:b/>
          <w:bCs/>
          <w:kern w:val="36"/>
          <w:lang w:eastAsia="hr-HR"/>
        </w:rPr>
        <w:t xml:space="preserve">MINISTARSTVO GRADITELJESTVA </w:t>
      </w:r>
    </w:p>
    <w:p w:rsidR="004630A4" w:rsidRDefault="004630A4" w:rsidP="004630A4">
      <w:pPr>
        <w:spacing w:after="0" w:line="240" w:lineRule="auto"/>
        <w:outlineLvl w:val="0"/>
        <w:rPr>
          <w:rFonts w:eastAsia="Times New Roman" w:cs="Times New Roman"/>
          <w:b/>
          <w:bCs/>
          <w:kern w:val="36"/>
          <w:lang w:eastAsia="hr-HR"/>
        </w:rPr>
      </w:pPr>
      <w:r w:rsidRPr="004630A4">
        <w:rPr>
          <w:rFonts w:eastAsia="Times New Roman" w:cs="Times New Roman"/>
          <w:b/>
          <w:bCs/>
          <w:kern w:val="36"/>
          <w:lang w:eastAsia="hr-HR"/>
        </w:rPr>
        <w:t>I PROSTORNOG UREĐENJA</w:t>
      </w:r>
    </w:p>
    <w:p w:rsidR="004630A4" w:rsidRDefault="004630A4" w:rsidP="004630A4">
      <w:pPr>
        <w:spacing w:after="0" w:line="240" w:lineRule="auto"/>
        <w:outlineLvl w:val="0"/>
      </w:pPr>
      <w:r>
        <w:t>Objavljeno: 15.06.2020.</w:t>
      </w:r>
    </w:p>
    <w:p w:rsidR="004630A4" w:rsidRDefault="004630A4" w:rsidP="004630A4">
      <w:pPr>
        <w:spacing w:after="0" w:line="240" w:lineRule="auto"/>
        <w:outlineLvl w:val="0"/>
      </w:pPr>
    </w:p>
    <w:p w:rsidR="004630A4" w:rsidRPr="004630A4" w:rsidRDefault="004630A4" w:rsidP="004630A4">
      <w:pPr>
        <w:spacing w:after="0" w:line="240" w:lineRule="auto"/>
        <w:outlineLvl w:val="0"/>
        <w:rPr>
          <w:rFonts w:eastAsia="Times New Roman" w:cs="Times New Roman"/>
          <w:b/>
          <w:bCs/>
          <w:kern w:val="36"/>
          <w:sz w:val="48"/>
          <w:szCs w:val="48"/>
          <w:lang w:eastAsia="hr-HR"/>
        </w:rPr>
      </w:pPr>
      <w:r w:rsidRPr="004630A4">
        <w:rPr>
          <w:rFonts w:eastAsia="Times New Roman" w:cs="Times New Roman"/>
          <w:b/>
          <w:bCs/>
          <w:kern w:val="36"/>
          <w:sz w:val="48"/>
          <w:szCs w:val="48"/>
          <w:lang w:eastAsia="hr-HR"/>
        </w:rPr>
        <w:t>Energetska obnova obiteljskih kuća – poziv 25. lipnja a prijave građana krajem ljeta</w:t>
      </w:r>
    </w:p>
    <w:p w:rsidR="004630A4" w:rsidRPr="004630A4" w:rsidRDefault="004630A4" w:rsidP="004630A4">
      <w:pPr>
        <w:spacing w:after="0" w:line="240" w:lineRule="auto"/>
        <w:rPr>
          <w:rFonts w:eastAsia="Times New Roman" w:cs="Times New Roman"/>
          <w:lang w:eastAsia="hr-HR"/>
        </w:rPr>
      </w:pPr>
      <w:r>
        <w:rPr>
          <w:rFonts w:eastAsia="Times New Roman" w:cs="Times New Roman"/>
          <w:noProof/>
          <w:color w:val="0000FF"/>
          <w:lang w:eastAsia="hr-HR"/>
        </w:rPr>
        <w:drawing>
          <wp:inline distT="0" distB="0" distL="0" distR="0">
            <wp:extent cx="7143750" cy="4762500"/>
            <wp:effectExtent l="19050" t="0" r="0" b="0"/>
            <wp:docPr id="1" name="Picture 1" descr="Slika /slike/Opcenito/energetska-obnova.jpg">
              <a:hlinkClick xmlns:a="http://schemas.openxmlformats.org/drawingml/2006/main" r:id="rId6" tooltip="&quot;Povećaj slik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a /slike/Opcenito/energetska-obnova.jpg">
                      <a:hlinkClick r:id="rId6" tooltip="&quot;Povećaj sliku&quot;"/>
                    </pic:cNvPr>
                    <pic:cNvPicPr>
                      <a:picLocks noChangeAspect="1" noChangeArrowheads="1"/>
                    </pic:cNvPicPr>
                  </pic:nvPicPr>
                  <pic:blipFill>
                    <a:blip r:embed="rId7"/>
                    <a:srcRect/>
                    <a:stretch>
                      <a:fillRect/>
                    </a:stretch>
                  </pic:blipFill>
                  <pic:spPr bwMode="auto">
                    <a:xfrm>
                      <a:off x="0" y="0"/>
                      <a:ext cx="7143750" cy="4762500"/>
                    </a:xfrm>
                    <a:prstGeom prst="rect">
                      <a:avLst/>
                    </a:prstGeom>
                    <a:noFill/>
                    <a:ln w="9525">
                      <a:noFill/>
                      <a:miter lim="800000"/>
                      <a:headEnd/>
                      <a:tailEnd/>
                    </a:ln>
                  </pic:spPr>
                </pic:pic>
              </a:graphicData>
            </a:graphic>
          </wp:inline>
        </w:drawing>
      </w:r>
    </w:p>
    <w:p w:rsidR="004630A4" w:rsidRPr="004630A4" w:rsidRDefault="004630A4" w:rsidP="004630A4">
      <w:pPr>
        <w:spacing w:before="100" w:beforeAutospacing="1" w:after="100" w:afterAutospacing="1" w:line="240" w:lineRule="auto"/>
        <w:outlineLvl w:val="2"/>
        <w:rPr>
          <w:rFonts w:eastAsia="Times New Roman" w:cs="Times New Roman"/>
          <w:b/>
          <w:bCs/>
          <w:sz w:val="27"/>
          <w:szCs w:val="27"/>
          <w:lang w:eastAsia="hr-HR"/>
        </w:rPr>
      </w:pPr>
      <w:r w:rsidRPr="004630A4">
        <w:rPr>
          <w:rFonts w:eastAsia="Times New Roman" w:cs="Times New Roman"/>
          <w:b/>
          <w:bCs/>
          <w:sz w:val="27"/>
          <w:szCs w:val="27"/>
          <w:lang w:eastAsia="hr-HR"/>
        </w:rPr>
        <w:t xml:space="preserve">Javni poziv  za energetsku obnovu obiteljskih, biti će raspisan 25. lipnja 2020. godine a građani će se za energetsku obnovu obiteljskih kuća moći prijaviti krajem ljeta. Ovo je nastavak sufinanciranja energetske obnove obiteljskih kuća nakon što je 14. svibnja 2020. godine Vlada RH donijela Izmjene i dopune tog programa. </w:t>
      </w:r>
    </w:p>
    <w:p w:rsidR="004630A4" w:rsidRPr="004630A4" w:rsidRDefault="004630A4" w:rsidP="004630A4">
      <w:pPr>
        <w:spacing w:after="0" w:line="240" w:lineRule="auto"/>
        <w:rPr>
          <w:rFonts w:eastAsia="Times New Roman" w:cs="Times New Roman"/>
          <w:lang w:eastAsia="hr-HR"/>
        </w:rPr>
      </w:pPr>
      <w:r w:rsidRPr="004630A4">
        <w:rPr>
          <w:rFonts w:eastAsia="Times New Roman" w:cs="Times New Roman"/>
          <w:lang w:eastAsia="hr-HR"/>
        </w:rPr>
        <w:t xml:space="preserve">Poziv će sa svim uvjetima sufinanciranja biti objavljen na web stranicama Fonda za zaštitu okoliša i energetsku učinkovitost, a građani će za prikupljanje i izradu potrebne dokumentacije imati vremena tijekom ljeta jer će službeno zaprimanje ponuda putem online </w:t>
      </w:r>
      <w:r w:rsidRPr="004630A4">
        <w:rPr>
          <w:rFonts w:eastAsia="Times New Roman" w:cs="Times New Roman"/>
          <w:lang w:eastAsia="hr-HR"/>
        </w:rPr>
        <w:lastRenderedPageBreak/>
        <w:t>aplikacije započeti početkom rujna. </w:t>
      </w:r>
      <w:r w:rsidRPr="004630A4">
        <w:rPr>
          <w:rFonts w:eastAsia="Times New Roman" w:cs="Times New Roman"/>
          <w:lang w:eastAsia="hr-HR"/>
        </w:rPr>
        <w:br/>
      </w:r>
      <w:r w:rsidRPr="004630A4">
        <w:rPr>
          <w:rFonts w:eastAsia="Times New Roman" w:cs="Times New Roman"/>
          <w:lang w:eastAsia="hr-HR"/>
        </w:rPr>
        <w:br/>
        <w:t>Postotak sufinanciranja će za sve građane biti 60%, dok će se ranjivim skupinama građana obnova u potpunosti financirati. Pritom će listu prioritetnih kuća za pojedina područja izraditi i predložiti lokalni Centri za socijalnu skrb.</w:t>
      </w:r>
      <w:r w:rsidRPr="004630A4">
        <w:rPr>
          <w:rFonts w:eastAsia="Times New Roman" w:cs="Times New Roman"/>
          <w:lang w:eastAsia="hr-HR"/>
        </w:rPr>
        <w:br/>
      </w:r>
      <w:r w:rsidRPr="004630A4">
        <w:rPr>
          <w:rFonts w:eastAsia="Times New Roman" w:cs="Times New Roman"/>
          <w:lang w:eastAsia="hr-HR"/>
        </w:rPr>
        <w:br/>
        <w:t>Za tu je namjenu osigurano 142 milijuna kuna.</w:t>
      </w:r>
      <w:r w:rsidRPr="004630A4">
        <w:rPr>
          <w:rFonts w:eastAsia="Times New Roman" w:cs="Times New Roman"/>
          <w:lang w:eastAsia="hr-HR"/>
        </w:rPr>
        <w:br/>
      </w:r>
      <w:r w:rsidRPr="004630A4">
        <w:rPr>
          <w:rFonts w:eastAsia="Times New Roman" w:cs="Times New Roman"/>
          <w:lang w:eastAsia="hr-HR"/>
        </w:rPr>
        <w:br/>
        <w:t>Na javni poziv će se moći prijaviti (su)vlasnici postojećih obiteljskih kuća energetskog razreda (prema Q H,nd) minimalno D ili lošijeg u kontinentalnoj Hrvatskoj ili C ili lošijeg u primorskoj Hrvatskoj. Osnovni uvjet je da budu zakonito izgrađene odnosno legalne.</w:t>
      </w:r>
      <w:r w:rsidRPr="004630A4">
        <w:rPr>
          <w:rFonts w:eastAsia="Times New Roman" w:cs="Times New Roman"/>
          <w:lang w:eastAsia="hr-HR"/>
        </w:rPr>
        <w:br/>
      </w:r>
      <w:r w:rsidRPr="004630A4">
        <w:rPr>
          <w:rFonts w:eastAsia="Times New Roman" w:cs="Times New Roman"/>
          <w:lang w:eastAsia="hr-HR"/>
        </w:rPr>
        <w:br/>
        <w:t>Obiteljska kuća u smislu ovog Programa je zgrada u kojoj je više od 50% bruto podne površine namijenjeno za stanovanje te zadovoljava jedan od dva navedena uvjeta:</w:t>
      </w:r>
      <w:r w:rsidRPr="004630A4">
        <w:rPr>
          <w:rFonts w:eastAsia="Times New Roman" w:cs="Times New Roman"/>
          <w:lang w:eastAsia="hr-HR"/>
        </w:rPr>
        <w:br/>
        <w:t xml:space="preserve">  </w:t>
      </w:r>
    </w:p>
    <w:p w:rsidR="004630A4" w:rsidRPr="004630A4" w:rsidRDefault="004630A4" w:rsidP="004630A4">
      <w:pPr>
        <w:numPr>
          <w:ilvl w:val="0"/>
          <w:numId w:val="1"/>
        </w:numPr>
        <w:spacing w:before="100" w:beforeAutospacing="1" w:after="100" w:afterAutospacing="1" w:line="240" w:lineRule="auto"/>
        <w:ind w:left="600"/>
        <w:rPr>
          <w:rFonts w:eastAsia="Times New Roman" w:cs="Times New Roman"/>
          <w:lang w:eastAsia="hr-HR"/>
        </w:rPr>
      </w:pPr>
      <w:r w:rsidRPr="004630A4">
        <w:rPr>
          <w:rFonts w:eastAsia="Times New Roman" w:cs="Times New Roman"/>
          <w:lang w:eastAsia="hr-HR"/>
        </w:rPr>
        <w:t>ima najviše tri stambene jedinice;</w:t>
      </w:r>
    </w:p>
    <w:p w:rsidR="004630A4" w:rsidRPr="004630A4" w:rsidRDefault="004630A4" w:rsidP="004630A4">
      <w:pPr>
        <w:numPr>
          <w:ilvl w:val="0"/>
          <w:numId w:val="1"/>
        </w:numPr>
        <w:spacing w:before="100" w:beforeAutospacing="1" w:after="100" w:afterAutospacing="1" w:line="240" w:lineRule="auto"/>
        <w:ind w:left="600"/>
        <w:rPr>
          <w:rFonts w:eastAsia="Times New Roman" w:cs="Times New Roman"/>
          <w:lang w:eastAsia="hr-HR"/>
        </w:rPr>
      </w:pPr>
      <w:r w:rsidRPr="004630A4">
        <w:rPr>
          <w:rFonts w:eastAsia="Times New Roman" w:cs="Times New Roman"/>
          <w:lang w:eastAsia="hr-HR"/>
        </w:rPr>
        <w:t>ima građevinsku bruto površinu manju ili jednaku 600 m2.</w:t>
      </w:r>
    </w:p>
    <w:p w:rsidR="004630A4" w:rsidRPr="004630A4" w:rsidRDefault="004630A4" w:rsidP="004630A4">
      <w:pPr>
        <w:spacing w:after="0" w:line="240" w:lineRule="auto"/>
        <w:rPr>
          <w:rFonts w:eastAsia="Times New Roman" w:cs="Times New Roman"/>
          <w:lang w:eastAsia="hr-HR"/>
        </w:rPr>
      </w:pPr>
      <w:r w:rsidRPr="004630A4">
        <w:rPr>
          <w:rFonts w:eastAsia="Times New Roman" w:cs="Times New Roman"/>
          <w:lang w:eastAsia="hr-HR"/>
        </w:rPr>
        <w:t> </w:t>
      </w:r>
      <w:r w:rsidRPr="004630A4">
        <w:rPr>
          <w:rFonts w:eastAsia="Times New Roman" w:cs="Times New Roman"/>
          <w:lang w:eastAsia="hr-HR"/>
        </w:rPr>
        <w:br/>
      </w:r>
      <w:r w:rsidRPr="004630A4">
        <w:rPr>
          <w:rFonts w:eastAsia="Times New Roman" w:cs="Times New Roman"/>
          <w:lang w:eastAsia="hr-HR"/>
        </w:rPr>
        <w:br/>
      </w:r>
      <w:r w:rsidRPr="004630A4">
        <w:rPr>
          <w:rFonts w:eastAsia="Times New Roman" w:cs="Times New Roman"/>
          <w:b/>
          <w:bCs/>
          <w:lang w:eastAsia="hr-HR"/>
        </w:rPr>
        <w:t>Mjere energetske obnove</w:t>
      </w:r>
      <w:r w:rsidRPr="004630A4">
        <w:rPr>
          <w:rFonts w:eastAsia="Times New Roman" w:cs="Times New Roman"/>
          <w:lang w:eastAsia="hr-HR"/>
        </w:rPr>
        <w:br/>
        <w:t xml:space="preserve">  </w:t>
      </w:r>
    </w:p>
    <w:p w:rsidR="004630A4" w:rsidRPr="004630A4" w:rsidRDefault="004630A4" w:rsidP="004630A4">
      <w:pPr>
        <w:numPr>
          <w:ilvl w:val="0"/>
          <w:numId w:val="2"/>
        </w:numPr>
        <w:spacing w:before="100" w:beforeAutospacing="1" w:after="100" w:afterAutospacing="1" w:line="240" w:lineRule="auto"/>
        <w:ind w:left="600"/>
        <w:rPr>
          <w:rFonts w:eastAsia="Times New Roman" w:cs="Times New Roman"/>
          <w:lang w:eastAsia="hr-HR"/>
        </w:rPr>
      </w:pPr>
      <w:r w:rsidRPr="004630A4">
        <w:rPr>
          <w:rFonts w:eastAsia="Times New Roman" w:cs="Times New Roman"/>
          <w:lang w:eastAsia="hr-HR"/>
        </w:rPr>
        <w:t>povećanje toplinske zaštite svih elemenata vanjske ovojnice grijanog prostora:</w:t>
      </w:r>
    </w:p>
    <w:p w:rsidR="004630A4" w:rsidRPr="004630A4" w:rsidRDefault="004630A4" w:rsidP="004630A4">
      <w:pPr>
        <w:numPr>
          <w:ilvl w:val="0"/>
          <w:numId w:val="2"/>
        </w:numPr>
        <w:spacing w:before="100" w:beforeAutospacing="1" w:after="100" w:afterAutospacing="1" w:line="240" w:lineRule="auto"/>
        <w:ind w:left="600"/>
        <w:rPr>
          <w:rFonts w:eastAsia="Times New Roman" w:cs="Times New Roman"/>
          <w:lang w:eastAsia="hr-HR"/>
        </w:rPr>
      </w:pPr>
      <w:r w:rsidRPr="004630A4">
        <w:rPr>
          <w:rFonts w:eastAsia="Times New Roman" w:cs="Times New Roman"/>
          <w:lang w:eastAsia="hr-HR"/>
        </w:rPr>
        <w:t>energetska obnova vanjskog zida, stropa, poda, krova (sva potrebna oprema i radovi vezani uz povećanje toplinske zaštite, uključujući npr. hidroizolaciju, zamjenu konstrukcijskih elemenata krova i dr. – detalji se propisuju u javnom pozivu);</w:t>
      </w:r>
    </w:p>
    <w:p w:rsidR="004630A4" w:rsidRPr="004630A4" w:rsidRDefault="004630A4" w:rsidP="004630A4">
      <w:pPr>
        <w:numPr>
          <w:ilvl w:val="0"/>
          <w:numId w:val="2"/>
        </w:numPr>
        <w:spacing w:before="100" w:beforeAutospacing="1" w:after="100" w:afterAutospacing="1" w:line="240" w:lineRule="auto"/>
        <w:ind w:left="600"/>
        <w:rPr>
          <w:rFonts w:eastAsia="Times New Roman" w:cs="Times New Roman"/>
          <w:lang w:eastAsia="hr-HR"/>
        </w:rPr>
      </w:pPr>
      <w:r w:rsidRPr="004630A4">
        <w:rPr>
          <w:rFonts w:eastAsia="Times New Roman" w:cs="Times New Roman"/>
          <w:lang w:eastAsia="hr-HR"/>
        </w:rPr>
        <w:t>zamjena stolarije ovojnice grijanog prostora novom;</w:t>
      </w:r>
    </w:p>
    <w:p w:rsidR="004630A4" w:rsidRPr="004630A4" w:rsidRDefault="004630A4" w:rsidP="004630A4">
      <w:pPr>
        <w:numPr>
          <w:ilvl w:val="0"/>
          <w:numId w:val="2"/>
        </w:numPr>
        <w:spacing w:before="100" w:beforeAutospacing="1" w:after="100" w:afterAutospacing="1" w:line="240" w:lineRule="auto"/>
        <w:ind w:left="600"/>
        <w:rPr>
          <w:rFonts w:eastAsia="Times New Roman" w:cs="Times New Roman"/>
          <w:lang w:eastAsia="hr-HR"/>
        </w:rPr>
      </w:pPr>
      <w:r w:rsidRPr="004630A4">
        <w:rPr>
          <w:rFonts w:eastAsia="Times New Roman" w:cs="Times New Roman"/>
          <w:lang w:eastAsia="hr-HR"/>
        </w:rPr>
        <w:t>cjelovita energetska obnova, koja podrazumijeva kombinaciju mjera na vanjskoj ovojnici i ugradnje sljedećih sustava za korištenje OIE:</w:t>
      </w:r>
    </w:p>
    <w:p w:rsidR="004630A4" w:rsidRPr="004630A4" w:rsidRDefault="004630A4" w:rsidP="004630A4">
      <w:pPr>
        <w:numPr>
          <w:ilvl w:val="0"/>
          <w:numId w:val="2"/>
        </w:numPr>
        <w:spacing w:before="100" w:beforeAutospacing="1" w:after="100" w:afterAutospacing="1" w:line="240" w:lineRule="auto"/>
        <w:ind w:left="600"/>
        <w:rPr>
          <w:rFonts w:eastAsia="Times New Roman" w:cs="Times New Roman"/>
          <w:lang w:eastAsia="hr-HR"/>
        </w:rPr>
      </w:pPr>
      <w:r w:rsidRPr="004630A4">
        <w:rPr>
          <w:rFonts w:eastAsia="Times New Roman" w:cs="Times New Roman"/>
          <w:lang w:eastAsia="hr-HR"/>
        </w:rPr>
        <w:t>sustavi s sunčanim toplinskim pretvaračima;</w:t>
      </w:r>
    </w:p>
    <w:p w:rsidR="004630A4" w:rsidRPr="004630A4" w:rsidRDefault="004630A4" w:rsidP="004630A4">
      <w:pPr>
        <w:numPr>
          <w:ilvl w:val="0"/>
          <w:numId w:val="2"/>
        </w:numPr>
        <w:spacing w:before="100" w:beforeAutospacing="1" w:after="100" w:afterAutospacing="1" w:line="240" w:lineRule="auto"/>
        <w:ind w:left="600"/>
        <w:rPr>
          <w:rFonts w:eastAsia="Times New Roman" w:cs="Times New Roman"/>
          <w:lang w:eastAsia="hr-HR"/>
        </w:rPr>
      </w:pPr>
      <w:r w:rsidRPr="004630A4">
        <w:rPr>
          <w:rFonts w:eastAsia="Times New Roman" w:cs="Times New Roman"/>
          <w:lang w:eastAsia="hr-HR"/>
        </w:rPr>
        <w:t>sustavi na drvnu sječku/pelete;</w:t>
      </w:r>
    </w:p>
    <w:p w:rsidR="004630A4" w:rsidRPr="004630A4" w:rsidRDefault="004630A4" w:rsidP="004630A4">
      <w:pPr>
        <w:numPr>
          <w:ilvl w:val="0"/>
          <w:numId w:val="2"/>
        </w:numPr>
        <w:spacing w:before="100" w:beforeAutospacing="1" w:after="100" w:afterAutospacing="1" w:line="240" w:lineRule="auto"/>
        <w:ind w:left="600"/>
        <w:rPr>
          <w:rFonts w:eastAsia="Times New Roman" w:cs="Times New Roman"/>
          <w:lang w:eastAsia="hr-HR"/>
        </w:rPr>
      </w:pPr>
      <w:r w:rsidRPr="004630A4">
        <w:rPr>
          <w:rFonts w:eastAsia="Times New Roman" w:cs="Times New Roman"/>
          <w:lang w:eastAsia="hr-HR"/>
        </w:rPr>
        <w:t>dizalice topline zrak-voda, voda-voda ili zemlja-voda;</w:t>
      </w:r>
    </w:p>
    <w:p w:rsidR="004630A4" w:rsidRPr="004630A4" w:rsidRDefault="004630A4" w:rsidP="004630A4">
      <w:pPr>
        <w:numPr>
          <w:ilvl w:val="0"/>
          <w:numId w:val="2"/>
        </w:numPr>
        <w:spacing w:before="100" w:beforeAutospacing="1" w:after="100" w:afterAutospacing="1" w:line="240" w:lineRule="auto"/>
        <w:ind w:left="600"/>
        <w:rPr>
          <w:rFonts w:eastAsia="Times New Roman" w:cs="Times New Roman"/>
          <w:lang w:eastAsia="hr-HR"/>
        </w:rPr>
      </w:pPr>
      <w:r w:rsidRPr="004630A4">
        <w:rPr>
          <w:rFonts w:eastAsia="Times New Roman" w:cs="Times New Roman"/>
          <w:lang w:eastAsia="hr-HR"/>
        </w:rPr>
        <w:t>fotonaponski sustavi za proizvodnju električne energije za vlastitu potrošnju.</w:t>
      </w:r>
    </w:p>
    <w:p w:rsidR="004630A4" w:rsidRPr="004630A4" w:rsidRDefault="004630A4" w:rsidP="004630A4">
      <w:pPr>
        <w:spacing w:after="0" w:line="240" w:lineRule="auto"/>
        <w:rPr>
          <w:rFonts w:eastAsia="Times New Roman" w:cs="Times New Roman"/>
          <w:lang w:eastAsia="hr-HR"/>
        </w:rPr>
      </w:pPr>
      <w:r w:rsidRPr="004630A4">
        <w:rPr>
          <w:rFonts w:eastAsia="Times New Roman" w:cs="Times New Roman"/>
          <w:lang w:eastAsia="hr-HR"/>
        </w:rPr>
        <w:br/>
        <w:t>Detaljniji tehnički uvjeti propisat će se u samom tekstu javnog poziva.</w:t>
      </w:r>
      <w:r w:rsidRPr="004630A4">
        <w:rPr>
          <w:rFonts w:eastAsia="Times New Roman" w:cs="Times New Roman"/>
          <w:lang w:eastAsia="hr-HR"/>
        </w:rPr>
        <w:br/>
        <w:t> </w:t>
      </w:r>
      <w:r w:rsidRPr="004630A4">
        <w:rPr>
          <w:rFonts w:eastAsia="Times New Roman" w:cs="Times New Roman"/>
          <w:lang w:eastAsia="hr-HR"/>
        </w:rPr>
        <w:br/>
      </w:r>
      <w:r w:rsidRPr="004630A4">
        <w:rPr>
          <w:rFonts w:eastAsia="Times New Roman" w:cs="Times New Roman"/>
          <w:lang w:eastAsia="hr-HR"/>
        </w:rPr>
        <w:br/>
      </w:r>
      <w:r w:rsidRPr="004630A4">
        <w:rPr>
          <w:rFonts w:eastAsia="Times New Roman" w:cs="Times New Roman"/>
          <w:b/>
          <w:bCs/>
          <w:lang w:eastAsia="hr-HR"/>
        </w:rPr>
        <w:t xml:space="preserve">Dokumentacija za prijavu </w:t>
      </w:r>
      <w:r w:rsidRPr="004630A4">
        <w:rPr>
          <w:rFonts w:eastAsia="Times New Roman" w:cs="Times New Roman"/>
          <w:lang w:eastAsia="hr-HR"/>
        </w:rPr>
        <w:br/>
      </w:r>
      <w:r w:rsidRPr="004630A4">
        <w:rPr>
          <w:rFonts w:eastAsia="Times New Roman" w:cs="Times New Roman"/>
          <w:lang w:eastAsia="hr-HR"/>
        </w:rPr>
        <w:br/>
        <w:t>Detaljan sadržaj dokumentacije potrebne za prijavu na poziv bit će također propisan u samom tekstu javnog poziva dok obavezna dokumentacija za prijavu minimalno uključuje:</w:t>
      </w:r>
      <w:r w:rsidRPr="004630A4">
        <w:rPr>
          <w:rFonts w:eastAsia="Times New Roman" w:cs="Times New Roman"/>
          <w:lang w:eastAsia="hr-HR"/>
        </w:rPr>
        <w:br/>
        <w:t xml:space="preserve">  </w:t>
      </w:r>
    </w:p>
    <w:p w:rsidR="004630A4" w:rsidRPr="004630A4" w:rsidRDefault="004630A4" w:rsidP="004630A4">
      <w:pPr>
        <w:numPr>
          <w:ilvl w:val="0"/>
          <w:numId w:val="3"/>
        </w:numPr>
        <w:spacing w:before="100" w:beforeAutospacing="1" w:after="100" w:afterAutospacing="1" w:line="240" w:lineRule="auto"/>
        <w:ind w:left="600"/>
        <w:rPr>
          <w:rFonts w:eastAsia="Times New Roman" w:cs="Times New Roman"/>
          <w:lang w:eastAsia="hr-HR"/>
        </w:rPr>
      </w:pPr>
      <w:r w:rsidRPr="004630A4">
        <w:rPr>
          <w:rFonts w:eastAsia="Times New Roman" w:cs="Times New Roman"/>
          <w:lang w:eastAsia="hr-HR"/>
        </w:rPr>
        <w:t>Energetski certifikat i Izvješće o energetskom pregledu prije energetske obnove te detaljnu ponudu opreme i radova. Navedenim dokumentima potvrđuje se zadovoljavanje tehničkih uvjeta propisanih u javnom pozivu;</w:t>
      </w:r>
    </w:p>
    <w:p w:rsidR="004630A4" w:rsidRPr="004630A4" w:rsidRDefault="004630A4" w:rsidP="004630A4">
      <w:pPr>
        <w:numPr>
          <w:ilvl w:val="0"/>
          <w:numId w:val="3"/>
        </w:numPr>
        <w:spacing w:before="100" w:beforeAutospacing="1" w:after="100" w:afterAutospacing="1" w:line="240" w:lineRule="auto"/>
        <w:ind w:left="600"/>
        <w:rPr>
          <w:rFonts w:eastAsia="Times New Roman" w:cs="Times New Roman"/>
          <w:lang w:eastAsia="hr-HR"/>
        </w:rPr>
      </w:pPr>
      <w:r w:rsidRPr="004630A4">
        <w:rPr>
          <w:rFonts w:eastAsia="Times New Roman" w:cs="Times New Roman"/>
          <w:lang w:eastAsia="hr-HR"/>
        </w:rPr>
        <w:lastRenderedPageBreak/>
        <w:t>U slučaju ugradnje fotonaponskih sustava, potreban je glavni projekt, u skladu s Pravilnikom o jednostavnim i drugim građevinama i radovima (Narodne novine, br.112/17,34/18,36/19 i 98/19);</w:t>
      </w:r>
    </w:p>
    <w:p w:rsidR="004630A4" w:rsidRPr="004630A4" w:rsidRDefault="004630A4" w:rsidP="004630A4">
      <w:pPr>
        <w:numPr>
          <w:ilvl w:val="0"/>
          <w:numId w:val="3"/>
        </w:numPr>
        <w:spacing w:before="100" w:beforeAutospacing="1" w:after="100" w:afterAutospacing="1" w:line="240" w:lineRule="auto"/>
        <w:ind w:left="600"/>
        <w:rPr>
          <w:rFonts w:eastAsia="Times New Roman" w:cs="Times New Roman"/>
          <w:lang w:eastAsia="hr-HR"/>
        </w:rPr>
      </w:pPr>
      <w:r w:rsidRPr="004630A4">
        <w:rPr>
          <w:rFonts w:eastAsia="Times New Roman" w:cs="Times New Roman"/>
          <w:lang w:eastAsia="hr-HR"/>
        </w:rPr>
        <w:t>U slučaju prijave obiteljske kuće koja je dio zaštićene kulturno-povjesne cjeline potrebno je odobrenje nadležnog tijela državne uprave za zaštitu spomenika kulture i prirode</w:t>
      </w:r>
    </w:p>
    <w:p w:rsidR="004630A4" w:rsidRPr="004630A4" w:rsidRDefault="004630A4" w:rsidP="004630A4">
      <w:pPr>
        <w:numPr>
          <w:ilvl w:val="0"/>
          <w:numId w:val="3"/>
        </w:numPr>
        <w:spacing w:before="100" w:beforeAutospacing="1" w:after="100" w:afterAutospacing="1" w:line="240" w:lineRule="auto"/>
        <w:ind w:left="600"/>
        <w:rPr>
          <w:rFonts w:eastAsia="Times New Roman" w:cs="Times New Roman"/>
          <w:lang w:eastAsia="hr-HR"/>
        </w:rPr>
      </w:pPr>
      <w:r w:rsidRPr="004630A4">
        <w:rPr>
          <w:rFonts w:eastAsia="Times New Roman" w:cs="Times New Roman"/>
          <w:lang w:eastAsia="hr-HR"/>
        </w:rPr>
        <w:t>Fotodokumentaciju postojećeg stanja;</w:t>
      </w:r>
    </w:p>
    <w:p w:rsidR="004630A4" w:rsidRPr="004630A4" w:rsidRDefault="004630A4" w:rsidP="004630A4">
      <w:pPr>
        <w:numPr>
          <w:ilvl w:val="0"/>
          <w:numId w:val="3"/>
        </w:numPr>
        <w:spacing w:before="100" w:beforeAutospacing="1" w:after="100" w:afterAutospacing="1" w:line="240" w:lineRule="auto"/>
        <w:ind w:left="600"/>
        <w:rPr>
          <w:rFonts w:eastAsia="Times New Roman" w:cs="Times New Roman"/>
          <w:lang w:eastAsia="hr-HR"/>
        </w:rPr>
      </w:pPr>
      <w:r w:rsidRPr="004630A4">
        <w:rPr>
          <w:rFonts w:eastAsia="Times New Roman" w:cs="Times New Roman"/>
          <w:lang w:eastAsia="hr-HR"/>
        </w:rPr>
        <w:t>Dokaze o prebivalištu, vlasništvu i zakonitosti građevine – vrste ovih dokaza detaljno se raspisuju u javnom pozivu.</w:t>
      </w:r>
    </w:p>
    <w:p w:rsidR="004630A4" w:rsidRPr="004630A4" w:rsidRDefault="004630A4" w:rsidP="004630A4">
      <w:pPr>
        <w:spacing w:after="0" w:line="240" w:lineRule="auto"/>
        <w:rPr>
          <w:rFonts w:eastAsia="Times New Roman" w:cs="Times New Roman"/>
          <w:lang w:eastAsia="hr-HR"/>
        </w:rPr>
      </w:pPr>
      <w:r w:rsidRPr="004630A4">
        <w:rPr>
          <w:rFonts w:eastAsia="Times New Roman" w:cs="Times New Roman"/>
          <w:lang w:eastAsia="hr-HR"/>
        </w:rPr>
        <w:br/>
        <w:t>Spomenimo ovdje i kako obiteljske kuće čine 65% stambenog fonda u Hrvatskoj koji je odgovoran za 40% od ukupne potrošnje energije na nacionalnoj razini. Najviše obiteljskih kuća u Hrvatskoj je izgrađeno prije 1987. godine te nemaju gotovo nikakvu ili samo minimalnu toplinsku izolaciju (energetski razred E i lošiji). Takve kuće troše 70% energije za grijanje, hlađenje i pripremu potrošne tople vode, a mjere energetske učinkovitosti mogu značajno smanjiti njihovu potrošnju, u nekim slučajevima i do 60% u odnosu na trenutnu.</w:t>
      </w:r>
      <w:r w:rsidRPr="004630A4">
        <w:rPr>
          <w:rFonts w:eastAsia="Times New Roman" w:cs="Times New Roman"/>
          <w:lang w:eastAsia="hr-HR"/>
        </w:rPr>
        <w:br/>
        <w:t xml:space="preserve">  </w:t>
      </w:r>
    </w:p>
    <w:p w:rsidR="004630A4" w:rsidRPr="004630A4" w:rsidRDefault="004630A4" w:rsidP="004630A4">
      <w:pPr>
        <w:numPr>
          <w:ilvl w:val="0"/>
          <w:numId w:val="4"/>
        </w:numPr>
        <w:spacing w:before="100" w:beforeAutospacing="1" w:after="100" w:afterAutospacing="1" w:line="240" w:lineRule="auto"/>
        <w:ind w:left="600"/>
        <w:rPr>
          <w:rFonts w:eastAsia="Times New Roman" w:cs="Times New Roman"/>
          <w:lang w:eastAsia="hr-HR"/>
        </w:rPr>
      </w:pPr>
      <w:hyperlink r:id="rId8" w:history="1">
        <w:r w:rsidRPr="004630A4">
          <w:rPr>
            <w:rFonts w:eastAsia="Times New Roman" w:cs="Times New Roman"/>
            <w:color w:val="0000FF"/>
            <w:u w:val="single"/>
            <w:lang w:eastAsia="hr-HR"/>
          </w:rPr>
          <w:t>Fond za zaštitu okoliša i energetsku učinkovitost</w:t>
        </w:r>
      </w:hyperlink>
    </w:p>
    <w:p w:rsidR="004630A4" w:rsidRPr="004630A4" w:rsidRDefault="004630A4" w:rsidP="004630A4">
      <w:pPr>
        <w:spacing w:after="0" w:line="240" w:lineRule="auto"/>
        <w:rPr>
          <w:rFonts w:eastAsia="Times New Roman" w:cs="Times New Roman"/>
          <w:lang w:eastAsia="hr-HR"/>
        </w:rPr>
      </w:pPr>
    </w:p>
    <w:p w:rsidR="00BB4972" w:rsidRDefault="00BB4972"/>
    <w:sectPr w:rsidR="00BB4972" w:rsidSect="00BB49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27270"/>
    <w:multiLevelType w:val="multilevel"/>
    <w:tmpl w:val="1B92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D39AE"/>
    <w:multiLevelType w:val="multilevel"/>
    <w:tmpl w:val="439C3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9D1A9F"/>
    <w:multiLevelType w:val="multilevel"/>
    <w:tmpl w:val="E5E0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64540D"/>
    <w:multiLevelType w:val="multilevel"/>
    <w:tmpl w:val="6966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30A4"/>
    <w:rsid w:val="000D4A4D"/>
    <w:rsid w:val="001129D4"/>
    <w:rsid w:val="00294584"/>
    <w:rsid w:val="00325C9F"/>
    <w:rsid w:val="004630A4"/>
    <w:rsid w:val="00723511"/>
    <w:rsid w:val="00824ACF"/>
    <w:rsid w:val="00BB497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C9F"/>
  </w:style>
  <w:style w:type="paragraph" w:styleId="Heading1">
    <w:name w:val="heading 1"/>
    <w:basedOn w:val="Normal"/>
    <w:link w:val="Heading1Char"/>
    <w:uiPriority w:val="9"/>
    <w:qFormat/>
    <w:rsid w:val="004630A4"/>
    <w:pPr>
      <w:spacing w:before="100" w:beforeAutospacing="1" w:after="100" w:afterAutospacing="1" w:line="240" w:lineRule="auto"/>
      <w:outlineLvl w:val="0"/>
    </w:pPr>
    <w:rPr>
      <w:rFonts w:eastAsia="Times New Roman" w:cs="Times New Roman"/>
      <w:b/>
      <w:bCs/>
      <w:kern w:val="36"/>
      <w:sz w:val="48"/>
      <w:szCs w:val="48"/>
      <w:lang w:eastAsia="hr-HR"/>
    </w:rPr>
  </w:style>
  <w:style w:type="paragraph" w:styleId="Heading3">
    <w:name w:val="heading 3"/>
    <w:basedOn w:val="Normal"/>
    <w:link w:val="Heading3Char"/>
    <w:uiPriority w:val="9"/>
    <w:qFormat/>
    <w:rsid w:val="004630A4"/>
    <w:pPr>
      <w:spacing w:before="100" w:beforeAutospacing="1" w:after="100" w:afterAutospacing="1" w:line="240" w:lineRule="auto"/>
      <w:outlineLvl w:val="2"/>
    </w:pPr>
    <w:rPr>
      <w:rFonts w:eastAsia="Times New Roman" w:cs="Times New Roman"/>
      <w:b/>
      <w:bCs/>
      <w:sz w:val="27"/>
      <w:szCs w:val="27"/>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0A4"/>
    <w:rPr>
      <w:rFonts w:eastAsia="Times New Roman" w:cs="Times New Roman"/>
      <w:b/>
      <w:bCs/>
      <w:kern w:val="36"/>
      <w:sz w:val="48"/>
      <w:szCs w:val="48"/>
      <w:lang w:eastAsia="hr-HR"/>
    </w:rPr>
  </w:style>
  <w:style w:type="character" w:customStyle="1" w:styleId="Heading3Char">
    <w:name w:val="Heading 3 Char"/>
    <w:basedOn w:val="DefaultParagraphFont"/>
    <w:link w:val="Heading3"/>
    <w:uiPriority w:val="9"/>
    <w:rsid w:val="004630A4"/>
    <w:rPr>
      <w:rFonts w:eastAsia="Times New Roman" w:cs="Times New Roman"/>
      <w:b/>
      <w:bCs/>
      <w:sz w:val="27"/>
      <w:szCs w:val="27"/>
      <w:lang w:eastAsia="hr-HR"/>
    </w:rPr>
  </w:style>
  <w:style w:type="character" w:styleId="Hyperlink">
    <w:name w:val="Hyperlink"/>
    <w:basedOn w:val="DefaultParagraphFont"/>
    <w:uiPriority w:val="99"/>
    <w:semiHidden/>
    <w:unhideWhenUsed/>
    <w:rsid w:val="004630A4"/>
    <w:rPr>
      <w:color w:val="0000FF"/>
      <w:u w:val="single"/>
    </w:rPr>
  </w:style>
  <w:style w:type="character" w:styleId="Strong">
    <w:name w:val="Strong"/>
    <w:basedOn w:val="DefaultParagraphFont"/>
    <w:uiPriority w:val="22"/>
    <w:qFormat/>
    <w:rsid w:val="004630A4"/>
    <w:rPr>
      <w:b/>
      <w:bCs/>
    </w:rPr>
  </w:style>
  <w:style w:type="paragraph" w:styleId="BalloonText">
    <w:name w:val="Balloon Text"/>
    <w:basedOn w:val="Normal"/>
    <w:link w:val="BalloonTextChar"/>
    <w:uiPriority w:val="99"/>
    <w:semiHidden/>
    <w:unhideWhenUsed/>
    <w:rsid w:val="00463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0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9097383">
      <w:bodyDiv w:val="1"/>
      <w:marLeft w:val="0"/>
      <w:marRight w:val="0"/>
      <w:marTop w:val="0"/>
      <w:marBottom w:val="0"/>
      <w:divBdr>
        <w:top w:val="none" w:sz="0" w:space="0" w:color="auto"/>
        <w:left w:val="none" w:sz="0" w:space="0" w:color="auto"/>
        <w:bottom w:val="none" w:sz="0" w:space="0" w:color="auto"/>
        <w:right w:val="none" w:sz="0" w:space="0" w:color="auto"/>
      </w:divBdr>
      <w:divsChild>
        <w:div w:id="2146584850">
          <w:marLeft w:val="0"/>
          <w:marRight w:val="0"/>
          <w:marTop w:val="0"/>
          <w:marBottom w:val="0"/>
          <w:divBdr>
            <w:top w:val="none" w:sz="0" w:space="0" w:color="auto"/>
            <w:left w:val="none" w:sz="0" w:space="0" w:color="auto"/>
            <w:bottom w:val="none" w:sz="0" w:space="0" w:color="auto"/>
            <w:right w:val="none" w:sz="0" w:space="0" w:color="auto"/>
          </w:divBdr>
          <w:divsChild>
            <w:div w:id="20843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zoeu.hr/"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gipu.gov.hr/userdocsimages/slike/Opcenito/energetska-obnova.jpg?width=1500&amp;height=1000&amp;mode=max"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595</Words>
  <Characters>3397</Characters>
  <Application>Microsoft Office Word</Application>
  <DocSecurity>0</DocSecurity>
  <Lines>28</Lines>
  <Paragraphs>7</Paragraphs>
  <ScaleCrop>false</ScaleCrop>
  <Company>Grizli777</Company>
  <LinksUpToDate>false</LinksUpToDate>
  <CharactersWithSpaces>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Pročelniik</dc:creator>
  <cp:lastModifiedBy>Pročelniik</cp:lastModifiedBy>
  <cp:revision>2</cp:revision>
  <dcterms:created xsi:type="dcterms:W3CDTF">2020-06-17T08:46:00Z</dcterms:created>
  <dcterms:modified xsi:type="dcterms:W3CDTF">2020-06-17T08:51:00Z</dcterms:modified>
</cp:coreProperties>
</file>