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EF" w:rsidRPr="007E29EF" w:rsidRDefault="007E29EF" w:rsidP="007E29EF">
      <w:pPr>
        <w:pStyle w:val="Heading4"/>
      </w:pPr>
      <w:r>
        <w:t>KL</w:t>
      </w:r>
      <w:hyperlink r:id="rId5" w:history="1">
        <w:r w:rsidRPr="007E29EF">
          <w:rPr>
            <w:color w:val="0000FF"/>
            <w:u w:val="single"/>
          </w:rPr>
          <w:t>IKNITE OVDJE ZA PRIKAZ U WEB PREGLEDNIKU</w:t>
        </w:r>
      </w:hyperlink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323"/>
        <w:gridCol w:w="7093"/>
        <w:gridCol w:w="323"/>
        <w:gridCol w:w="630"/>
      </w:tblGrid>
      <w:tr w:rsidR="007E29EF" w:rsidRPr="007E29EF" w:rsidTr="007E29EF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</w:tr>
      <w:tr w:rsidR="007E29EF" w:rsidRPr="007E29EF" w:rsidTr="007E29EF">
        <w:trPr>
          <w:trHeight w:val="1200"/>
          <w:tblCellSpacing w:w="15" w:type="dxa"/>
        </w:trPr>
        <w:tc>
          <w:tcPr>
            <w:tcW w:w="6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7800" w:type="dxa"/>
            <w:gridSpan w:val="3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  <w:r w:rsidRPr="007E29EF">
              <w:br/>
              <w:t> Pojedinačna potpora do 50% troškova</w:t>
            </w:r>
            <w:r w:rsidRPr="007E29EF">
              <w:br/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Natječaj se otvara 19. ožujka</w:t>
            </w:r>
          </w:p>
        </w:tc>
        <w:tc>
          <w:tcPr>
            <w:tcW w:w="6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</w:tr>
      <w:tr w:rsidR="007E29EF" w:rsidRPr="007E29EF" w:rsidTr="007E29EF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3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72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3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6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</w:tr>
      <w:tr w:rsidR="007E29EF" w:rsidRPr="007E29EF" w:rsidTr="007E29EF">
        <w:trPr>
          <w:tblCellSpacing w:w="15" w:type="dxa"/>
        </w:trPr>
        <w:tc>
          <w:tcPr>
            <w:tcW w:w="6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3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</w:pPr>
          </w:p>
        </w:tc>
        <w:tc>
          <w:tcPr>
            <w:tcW w:w="7200" w:type="dxa"/>
            <w:vAlign w:val="center"/>
            <w:hideMark/>
          </w:tcPr>
          <w:p w:rsidR="007E29EF" w:rsidRPr="007E29EF" w:rsidRDefault="007E29EF" w:rsidP="007E29EF">
            <w:pPr>
              <w:pStyle w:val="Heading4"/>
              <w:rPr>
                <w:kern w:val="36"/>
              </w:rPr>
            </w:pPr>
            <w:r w:rsidRPr="007E29EF">
              <w:rPr>
                <w:kern w:val="36"/>
              </w:rPr>
              <w:t>Prema najavama, sutra se otvara natječaj iz operacije  4.2.1. „Povećanje dodane vrijednosti poljoprivrednim proizvodima“ u vrijednosti od 300 milijuna kuna, od čega je 162 milijuna  namijenjeno za mikro, male i srednje korisnike,  108 milijuna za velike korisnike te 30 milijuna kuna za početnike.</w:t>
            </w:r>
            <w:r w:rsidRPr="007E29EF">
              <w:rPr>
                <w:kern w:val="36"/>
              </w:rPr>
              <w:br/>
              <w:t> </w:t>
            </w:r>
            <w:r w:rsidRPr="007E29EF">
              <w:rPr>
                <w:kern w:val="36"/>
              </w:rPr>
              <w:br/>
              <w:t>Svima koji se bave preradom poljoprivrednih proizvoda, najavljeni natječaj zadnja je prilika za EU sufinanciranje ulaganja u razdoblju 2014-2020 tj. izgradnju i opremanje objekata za proizvodnju i preradu, objekata za prodaju i prezentaciju vlastitih poljoprivrednih proizvoda, gospodarskih vozila te poljoprivrednih strojeva i opreme u funkciji prerade.</w:t>
            </w:r>
            <w:r w:rsidRPr="007E29EF">
              <w:rPr>
                <w:kern w:val="36"/>
              </w:rPr>
              <w:br/>
            </w:r>
            <w:r w:rsidRPr="007E29EF">
              <w:rPr>
                <w:kern w:val="36"/>
              </w:rPr>
              <w:br/>
            </w:r>
            <w:r w:rsidRPr="007E29EF">
              <w:rPr>
                <w:kern w:val="36"/>
                <w:u w:val="single"/>
              </w:rPr>
              <w:t>Prihvatljivi prijavitelji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fizičke i pravne osobe već registrirane za preradu poljoprivrednih proizvoda  životinjskog ili ne životinjskog porijekla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fizičke i pravne osobe koje još nisu registrirane za preradu poljoprivrednih proizvoda, ali su upisane u Upisnik poljoprivrednika najmanje godinu dana u trenutku objave nacrta Natječaja, pod uvjetom da najkasnije u trenutku podnošenja konačnog zahtjeva za isplatu budu registrirane za preradu poljoprivrednih proizvoda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proizvođačke  organizacije priznaju se pod uvjetom da najkasnije u trenutku podnošenja konačnog zahtjeva za isplatu budu registrirane za preradu poljoprivrednih proizvoda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U slučaju samostalnog ulaganja u marketing primarnih poljoprivrednih proizvoda, fizičke i pravne osobe moraju biti upisane u Upisnik poljoprivrednika najmanje godinu dana u trenutku objave nacrta Natječaja, no ne moraju biti registrirane za preradu poljoprivrednih proizvoda</w:t>
            </w:r>
            <w:r w:rsidRPr="007E29EF">
              <w:br/>
            </w:r>
            <w:r w:rsidRPr="007E29EF">
              <w:br/>
              <w:t>VAŽNO: Ulaganja u preradu grožđa za proizvodnju vina nisu prihvatljiva u sklopu tipa operacije 4.2.1, niti u sklopu ovoga Natječaja, obzirom su ista prihvatljiva u sklopu mjere Ulaganja iz Nacionalnog programa pomoći sektoru vina za razdoblje od 2019. - 2023.</w:t>
            </w:r>
            <w:r w:rsidRPr="007E29EF">
              <w:br/>
            </w:r>
            <w:r w:rsidRPr="007E29EF">
              <w:br/>
            </w:r>
            <w:r w:rsidRPr="007E29EF">
              <w:rPr>
                <w:u w:val="single"/>
              </w:rPr>
              <w:lastRenderedPageBreak/>
              <w:t>Razina i visina potpore</w:t>
            </w:r>
            <w:r w:rsidRPr="007E29EF">
              <w:br/>
            </w:r>
            <w:r w:rsidRPr="007E29EF">
              <w:br/>
              <w:t>Mikro, mali i srednji korisnici:</w:t>
            </w:r>
            <w:r w:rsidRPr="007E29EF">
              <w:br/>
            </w:r>
            <w:r w:rsidRPr="007E29EF">
              <w:br/>
              <w:t>Najniža visina javne potpore po projektu iznosi 15.000 EUR  </w:t>
            </w:r>
            <w:r w:rsidRPr="007E29EF">
              <w:br/>
              <w:t> </w:t>
            </w:r>
            <w:r w:rsidRPr="007E29EF">
              <w:br/>
              <w:t>Najviša visina potpore po projektu iznosi:</w:t>
            </w:r>
            <w:r w:rsidRPr="007E29EF">
              <w:br/>
            </w:r>
            <w:r w:rsidRPr="007E29EF">
              <w:br/>
              <w:t>a) do 3.000.000 EUR za sektor prerade mesa i mlijeka</w:t>
            </w:r>
            <w:r w:rsidRPr="007E29EF">
              <w:br/>
              <w:t>b) do 2.000.000 EUR za ostale sektore</w:t>
            </w:r>
            <w:r w:rsidRPr="007E29EF">
              <w:br/>
              <w:t>c) do 200.000 EUR za korisnike početnike</w:t>
            </w:r>
            <w:r w:rsidRPr="007E29EF">
              <w:br/>
            </w:r>
            <w:r w:rsidRPr="007E29EF">
              <w:br/>
              <w:t>Veliki korisnici:</w:t>
            </w:r>
            <w:r w:rsidRPr="007E29EF">
              <w:br/>
            </w:r>
            <w:r w:rsidRPr="007E29EF">
              <w:br/>
              <w:t>Najniža visina javne potpore po projektu iznosi 15.000 EUR</w:t>
            </w:r>
            <w:r w:rsidRPr="007E29EF">
              <w:br/>
            </w:r>
            <w:r w:rsidRPr="007E29EF">
              <w:br/>
              <w:t>Najviša visina potpore po projektu iznosi:</w:t>
            </w:r>
            <w:r w:rsidRPr="007E29EF">
              <w:br/>
            </w:r>
            <w:r w:rsidRPr="007E29EF">
              <w:br/>
              <w:t>a) do 5.000.000 EUR za sektor prerade mesa i mlijeka</w:t>
            </w:r>
            <w:r w:rsidRPr="007E29EF">
              <w:br/>
              <w:t>b) do 3.000.000 EUR za ostale sektore</w:t>
            </w:r>
            <w:r w:rsidRPr="007E29EF">
              <w:br/>
              <w:t>c) do 200.000 EUR za korisnike početnike</w:t>
            </w:r>
            <w:r w:rsidRPr="007E29EF">
              <w:br/>
            </w:r>
            <w:r w:rsidRPr="007E29EF">
              <w:br/>
            </w:r>
            <w:r w:rsidRPr="007E29EF">
              <w:rPr>
                <w:u w:val="single"/>
              </w:rPr>
              <w:t>Intezitet potpore</w:t>
            </w:r>
            <w:r w:rsidRPr="007E29EF">
              <w:br/>
            </w:r>
            <w:r w:rsidRPr="007E29EF">
              <w:br/>
              <w:t>Do 50 % vrijednosti ukupno prihvatljivih troškova</w:t>
            </w:r>
            <w:r w:rsidRPr="007E29EF">
              <w:br/>
            </w:r>
            <w:r w:rsidRPr="007E29EF">
              <w:br/>
            </w:r>
            <w:r w:rsidRPr="007E29EF">
              <w:rPr>
                <w:u w:val="single"/>
              </w:rPr>
              <w:t>Prihvatljive aktivnosti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Građenje i rekonstrukcija objekata za preradu, te ostalih gospodarskih objekata koji su u funkciji djelatnosti  prerade s pripadajućom unutarnjom i vanjskom infrastrukturom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Nabava strojeva i opreme za preradu i ostale postupke koji su u funkciji djelatnosti prerade (prihvat sirovine, skladištenje, obrada/prerada, hlađenje, klimatizacija, pakiranje, manipulacija, čišćenje, pročišćavanje, laboratorij i analiza, energija i instalacije, sigurnosni nadzor, potrebe veterinarske kontrole, transport)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Građenje, rekonstrukcija i opremanje objekata za prodaju i prezentaciju vlastitih poljoprivrednih proizvoda (isključujući kušaonice)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Građenje, rekonstrukcija i opremanje objekata za obradu otpadnih voda, filtriranje zraka i rashladni sustavi s pripadajućom unutarnjom i vanjskom infrastrukturom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Građenje, rekonstrukcija i opremanje ostalih gospodarskih objekata, upravnih prostorija s pripadajućim sadržajima, opremom i infrastrukturom koji su u funkciji djelatnosti prerade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lastRenderedPageBreak/>
              <w:t>Nabava gospodarskih vozila te poljoprivrednih strojeva i opreme u funkciji prerade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Kupnja zemljišta i objekata radi realizacije projekta - do 10% vrijednosti ukupno prihvatljivih troškova projekta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Opći troškovi  (priprema poslovnog plana i dokumentacije, troškovi projektno- tehničke dokumentacije, geodetskih podloga, elaborata i trošak nadzora) - do 10 % vrijednosti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Nematerijalni troškovi (kupnja ili razvoj računalnih programa, kupnja prava na patente i licence, zaštita autorskih prava, registracija i održavanje žigova, ostali nematerijalni troškovi povezani s materijalnim ulaganjem)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rPr>
                <w:u w:val="single"/>
              </w:rPr>
              <w:t>Kriteriji bodovanja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veličina gospodarstva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vrsta ulaganja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zadržavanje ili stvaranje novih radnih mjesta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duljina poslovanja i uspješnost poslovanja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pokrivenost ulaganja prihodima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sektor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sustavi kvalitete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lokacija ulaganja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novi/ inovativni proizvod/tehničko-tehnološki proces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doprinos ulaganja fokus području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t>smanjenje emisije CO</w:t>
            </w:r>
            <w:r w:rsidRPr="007E29EF">
              <w:rPr>
                <w:rFonts w:ascii="Cambria Math" w:hAnsi="Cambria Math" w:cs="Cambria Math"/>
              </w:rPr>
              <w:t>₂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br/>
              <w:t>Natječaj je otvoren do 30. lipnja 2020. u 12 sati.</w:t>
            </w:r>
          </w:p>
          <w:p w:rsidR="007E29EF" w:rsidRPr="007E29EF" w:rsidRDefault="007E29EF" w:rsidP="007E29EF">
            <w:pPr>
              <w:pStyle w:val="Heading4"/>
            </w:pPr>
            <w:r w:rsidRPr="007E29EF">
              <w:br/>
              <w:t xml:space="preserve">Više o natječaju možete pronaći </w:t>
            </w:r>
            <w:hyperlink r:id="rId6" w:history="1">
              <w:r w:rsidRPr="007E29EF">
                <w:rPr>
                  <w:color w:val="0000FF"/>
                  <w:u w:val="single"/>
                </w:rPr>
                <w:t>ovdje</w:t>
              </w:r>
            </w:hyperlink>
            <w:r w:rsidRPr="007E29EF">
              <w:t>.</w:t>
            </w:r>
          </w:p>
        </w:tc>
        <w:tc>
          <w:tcPr>
            <w:tcW w:w="0" w:type="auto"/>
            <w:vAlign w:val="center"/>
            <w:hideMark/>
          </w:tcPr>
          <w:p w:rsidR="007E29EF" w:rsidRPr="007E29EF" w:rsidRDefault="007E29EF" w:rsidP="007E29EF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29EF" w:rsidRPr="007E29EF" w:rsidRDefault="007E29EF" w:rsidP="007E29EF">
            <w:pPr>
              <w:pStyle w:val="Heading4"/>
              <w:rPr>
                <w:sz w:val="20"/>
                <w:szCs w:val="20"/>
              </w:rPr>
            </w:pPr>
          </w:p>
        </w:tc>
      </w:tr>
    </w:tbl>
    <w:p w:rsidR="00BB4972" w:rsidRDefault="00BB4972" w:rsidP="007E29EF">
      <w:pPr>
        <w:pStyle w:val="Heading4"/>
      </w:pPr>
    </w:p>
    <w:p w:rsidR="007E29EF" w:rsidRDefault="007E29EF" w:rsidP="007E29EF">
      <w:pPr>
        <w:pStyle w:val="Heading4"/>
      </w:pPr>
    </w:p>
    <w:sectPr w:rsidR="007E29EF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BD3"/>
    <w:multiLevelType w:val="multilevel"/>
    <w:tmpl w:val="1C8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13000"/>
    <w:multiLevelType w:val="multilevel"/>
    <w:tmpl w:val="588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A4AA2"/>
    <w:multiLevelType w:val="multilevel"/>
    <w:tmpl w:val="C24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9EF"/>
    <w:rsid w:val="000D4A4D"/>
    <w:rsid w:val="001129D4"/>
    <w:rsid w:val="00325C9F"/>
    <w:rsid w:val="00723511"/>
    <w:rsid w:val="007E29EF"/>
    <w:rsid w:val="00811D80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7E29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9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E29E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7E29E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EF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E29EF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7E29EF"/>
    <w:rPr>
      <w:rFonts w:eastAsia="Times New Roman" w:cs="Times New Roman"/>
      <w:b/>
      <w:bCs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E29EF"/>
    <w:rPr>
      <w:color w:val="0000FF"/>
      <w:u w:val="single"/>
    </w:rPr>
  </w:style>
  <w:style w:type="character" w:customStyle="1" w:styleId="acymailingonline">
    <w:name w:val="acymailing_online"/>
    <w:basedOn w:val="DefaultParagraphFont"/>
    <w:rsid w:val="007E29EF"/>
  </w:style>
  <w:style w:type="paragraph" w:styleId="NormalWeb">
    <w:name w:val="Normal (Web)"/>
    <w:basedOn w:val="Normal"/>
    <w:uiPriority w:val="99"/>
    <w:semiHidden/>
    <w:unhideWhenUsed/>
    <w:rsid w:val="007E29EF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7E29EF"/>
    <w:rPr>
      <w:b/>
      <w:bCs/>
    </w:rPr>
  </w:style>
  <w:style w:type="paragraph" w:styleId="NoSpacing">
    <w:name w:val="No Spacing"/>
    <w:uiPriority w:val="1"/>
    <w:qFormat/>
    <w:rsid w:val="007E29E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2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fondovi.hr/natjecaji/najava-otvoreno-zatvoreno/podmjera-4-2?acm=36322_192" TargetMode="External"/><Relationship Id="rId5" Type="http://schemas.openxmlformats.org/officeDocument/2006/relationships/hyperlink" Target="http://eufondovi.hr/index.php?option=com_acymailing&amp;ctrl=archive&amp;task=view&amp;mailid=192&amp;key=ARCG9Pqn&amp;subid=36322-FutIJglpfITEB2&amp;tmpl=component&amp;acm=36322_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4138</Characters>
  <Application>Microsoft Office Word</Application>
  <DocSecurity>0</DocSecurity>
  <Lines>34</Lines>
  <Paragraphs>9</Paragraphs>
  <ScaleCrop>false</ScaleCrop>
  <Company>Grizli777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2020-03-19T10:19:00Z</dcterms:created>
  <dcterms:modified xsi:type="dcterms:W3CDTF">2020-03-19T10:22:00Z</dcterms:modified>
</cp:coreProperties>
</file>