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4" w:rsidRDefault="00D43224" w:rsidP="00D432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333399"/>
          <w:sz w:val="28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333750" cy="619125"/>
            <wp:effectExtent l="0" t="0" r="0" b="0"/>
            <wp:docPr id="3" name="Picture 3" descr="eufondovi.hr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fondovi.hr transpar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24" w:rsidRPr="00D43224" w:rsidRDefault="00D43224" w:rsidP="00D432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color w:val="333399"/>
          <w:sz w:val="28"/>
          <w:lang w:eastAsia="hr-HR"/>
        </w:rPr>
        <w:t>Investicijski krediti za ruralni razvoj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noProof/>
          <w:lang w:eastAsia="hr-HR"/>
        </w:rPr>
        <w:drawing>
          <wp:inline distT="0" distB="0" distL="0" distR="0">
            <wp:extent cx="4095750" cy="2552700"/>
            <wp:effectExtent l="19050" t="0" r="0" b="0"/>
            <wp:docPr id="1" name="Picture 1" descr="Ruralni ra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ralni razvo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224">
        <w:rPr>
          <w:rFonts w:eastAsia="Times New Roman" w:cs="Times New Roman"/>
          <w:lang w:eastAsia="hr-HR"/>
        </w:rPr>
        <w:t xml:space="preserve">Ministarstvo poljoprivrede u suradnji s Agencijom za plaćanje u poljoprivredi, ribarstvu i ruralnom razvoju i Hrvatskom bankom za obnovu i razvoj (HBOR) te poslovnim bankama nudi investicijske kredite za ruralni razvoj u cilju podrške </w:t>
      </w:r>
      <w:r w:rsidRPr="00D43224">
        <w:rPr>
          <w:rFonts w:eastAsia="Times New Roman" w:cs="Times New Roman"/>
          <w:i/>
          <w:iCs/>
          <w:lang w:eastAsia="hr-HR"/>
        </w:rPr>
        <w:t> </w:t>
      </w:r>
      <w:r w:rsidRPr="00D43224">
        <w:rPr>
          <w:rFonts w:eastAsia="Times New Roman" w:cs="Times New Roman"/>
          <w:lang w:eastAsia="hr-HR"/>
        </w:rPr>
        <w:t>većim investicijama u proizvodnji, preradi i šumarstvu za koje je osigurano više od 500 milijuna kuna, počevši od rujna 2019. Povoljno kreditiranje je nužno da se stvore nova i bolja radna mjesta, viši prihodi te poveća konkurentnost ruralnog područja. 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 xml:space="preserve">„Investicijski krediti za ruralni razvoj“ su financijski instrument Ruralnog razvoja u kojemu sudjeluje HBOR u suradnji s poslovnim bankama s ciljem olakšavanja pristupa dugoročnim investicijskim kreditima poljoprivrednicima, prerađivačima te subjektima u sektoru šumarstva. 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 xml:space="preserve">HBOR je u okviru provedbe financijskog instrumenta „Investicijski krediti za ruralni razvoj“ upravitelj fonda sredstava, dok su poslovne banke (OTP banka Hrvatska d.d.; Privredna banka Zagreb d.d.; Zagrebačka banka d.d.). financijski posrednici koje zaprimaju, obrađuju i isplaćuju kredite krajnjim primateljima. 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>Jedan kredit sastoji se od sredstava iz izvora Programskog doprinosa i od sredstava iz izvora poslovne banke u omjeru 50:50.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color w:val="333399"/>
          <w:u w:val="single"/>
          <w:lang w:eastAsia="hr-HR"/>
        </w:rPr>
        <w:t>Prihvatljivi primatelji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  obiteljsko poljoprivredno gospodarstvo (OPG),</w:t>
      </w:r>
      <w:r w:rsidRPr="00D43224">
        <w:rPr>
          <w:rFonts w:eastAsia="Times New Roman" w:cs="Times New Roman"/>
          <w:lang w:eastAsia="hr-HR"/>
        </w:rPr>
        <w:br/>
        <w:t xml:space="preserve">-  obrt registriran za obavljanje poljoprivredne djelatnosti, </w:t>
      </w:r>
      <w:r w:rsidRPr="00D43224">
        <w:rPr>
          <w:rFonts w:eastAsia="Times New Roman" w:cs="Times New Roman"/>
          <w:lang w:eastAsia="hr-HR"/>
        </w:rPr>
        <w:br/>
        <w:t xml:space="preserve">-  trgovačko društvo (uključujući proizvođačke organizacije), </w:t>
      </w:r>
      <w:r w:rsidRPr="00D43224">
        <w:rPr>
          <w:rFonts w:eastAsia="Times New Roman" w:cs="Times New Roman"/>
          <w:lang w:eastAsia="hr-HR"/>
        </w:rPr>
        <w:br/>
        <w:t>-  zadruga (također uključujući proizvođačke organizacije).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b/>
          <w:bCs/>
          <w:color w:val="333399"/>
          <w:u w:val="single"/>
          <w:lang w:eastAsia="hr-HR"/>
        </w:rPr>
        <w:t>Obilježja kredita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lastRenderedPageBreak/>
        <w:br/>
        <w:t>- iznos kredita: 50.001,00 – 1.000.000 EUR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rok otplate: do 15 god, poček 3 odnosno 5 godina za trajne nasade (nije moguća izmjena roka otplate kredita nakon odobrenja kredita)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rok korištenja : do 18 mjeseci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kamatna stopa - prosjek zbroja kamatne stope na dio Programskog doprinosa (0%) i kamatne stope na dio kredita iz sredstava poslovne banke (prema ponudi u javnoj nabavi). Kamatna stopa je fiksna za cijelo vrijeme otplate kredita.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valuta kredita: u kunama ili u kunama s valutnom klauzulom. Dio kredita iz izvora Programskog doprinosa može biti u kunama ili u kunama uz EUR valutnu klauzulu, dok se dio kredita iz izvora poslovne banke odobrava u kunama uz EUR valutnu klauzulu.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dodana vrijednost: niža efektivna cijena financiranja, što se ostvaruje kroz nisku kamatnu stopu te oslobođenje od plaćanja naknada koje se uobičajeno naplaćuju prilikom odobrenja i korištenja kredita. Bez naknada za obradu zahtjeva i za rezervaciju sredstava te naknade za izmjene uvjeta kredita koje nije inicirao korisnik kredita.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>- instrumenti osiguranja za uredno izvršenje obveza po kreditima jesu sukladno procjeni/zahtjevu poslovne banke te za povrat dodijeljene potpore 2 (dvije) zadužnice poduzetnika svaka u iznosu bruto ekvivalenta potpore dodijeljenog Ugovorom o kreditu, uvećane za zakonsku zateznu kamatu, pri čemu je iznos obje zadužnice zbroj potpora u kunama.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>- vlastito učešće korisnika kredita u investiciji iznosi u pravilu 10% ukupne vrijednosti investicije bez PDV-a, a moguće je financirati i do 100% ukupne vrijednosti investicije bez PDV-a, a sve sukladno procjeni poslovne banke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lang w:eastAsia="hr-HR"/>
        </w:rPr>
        <w:t>- očekivana prosječna kamatna stopa: od 1.2 % do 2.1%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b/>
          <w:bCs/>
          <w:color w:val="333399"/>
          <w:u w:val="single"/>
          <w:lang w:eastAsia="hr-HR"/>
        </w:rPr>
        <w:br/>
      </w:r>
      <w:r w:rsidRPr="00D43224">
        <w:rPr>
          <w:rFonts w:eastAsia="Times New Roman" w:cs="Times New Roman"/>
          <w:b/>
          <w:bCs/>
          <w:color w:val="333399"/>
          <w:lang w:eastAsia="hr-HR"/>
        </w:rPr>
        <w:t>NIJE DOZVOLJENO:</w:t>
      </w:r>
      <w:r w:rsidRPr="00D43224">
        <w:rPr>
          <w:rFonts w:eastAsia="Times New Roman" w:cs="Times New Roman"/>
          <w:lang w:eastAsia="hr-HR"/>
        </w:rPr>
        <w:t xml:space="preserve">  </w:t>
      </w:r>
      <w:r w:rsidRPr="00D43224">
        <w:rPr>
          <w:rFonts w:eastAsia="Times New Roman" w:cs="Times New Roman"/>
          <w:lang w:eastAsia="hr-HR"/>
        </w:rPr>
        <w:br/>
        <w:t xml:space="preserve">Kumuliranje potpora iz sredstava Programskog doprinosa na istom projektu što znači da se ovaj kredit </w:t>
      </w:r>
      <w:r w:rsidRPr="00D43224">
        <w:rPr>
          <w:rFonts w:eastAsia="Times New Roman" w:cs="Times New Roman"/>
          <w:b/>
          <w:bCs/>
          <w:lang w:eastAsia="hr-HR"/>
        </w:rPr>
        <w:t>ne može kombinirati</w:t>
      </w:r>
      <w:r w:rsidRPr="00D43224">
        <w:rPr>
          <w:rFonts w:eastAsia="Times New Roman" w:cs="Times New Roman"/>
          <w:lang w:eastAsia="hr-HR"/>
        </w:rPr>
        <w:t xml:space="preserve"> s:</w:t>
      </w:r>
      <w:r w:rsidRPr="00D43224">
        <w:rPr>
          <w:rFonts w:eastAsia="Times New Roman" w:cs="Times New Roman"/>
          <w:lang w:eastAsia="hr-HR"/>
        </w:rPr>
        <w:br/>
        <w:t>- ESIF bespovratnim sredstvima (grantovima), niti kao predfinan</w:t>
      </w:r>
      <w:r>
        <w:rPr>
          <w:rFonts w:eastAsia="Times New Roman" w:cs="Times New Roman"/>
          <w:lang w:eastAsia="hr-HR"/>
        </w:rPr>
        <w:t>ciranje niti kao sufinanciranje</w:t>
      </w:r>
      <w:r w:rsidRPr="00D43224">
        <w:rPr>
          <w:rFonts w:eastAsia="Times New Roman" w:cs="Times New Roman"/>
          <w:lang w:eastAsia="hr-HR"/>
        </w:rPr>
        <w:br/>
        <w:t>- drugim ESIF financijskim instrumentima, pri</w:t>
      </w:r>
      <w:r>
        <w:rPr>
          <w:rFonts w:eastAsia="Times New Roman" w:cs="Times New Roman"/>
          <w:lang w:eastAsia="hr-HR"/>
        </w:rPr>
        <w:t>mjerice jamstvima HAMAG-BICRO-a</w:t>
      </w:r>
      <w:r w:rsidRPr="00D43224">
        <w:rPr>
          <w:rFonts w:eastAsia="Times New Roman" w:cs="Times New Roman"/>
          <w:lang w:eastAsia="hr-HR"/>
        </w:rPr>
        <w:br/>
        <w:t>- drugim financijskim instrumentima, primjerice jamstvima HAMAG-BICRO-a financiranima iz državnog proračuna ili financijskim instrumentima iz centralnih programa Europske unije</w:t>
      </w:r>
    </w:p>
    <w:p w:rsidR="00D43224" w:rsidRPr="00D43224" w:rsidRDefault="00D43224" w:rsidP="00D43224">
      <w:pPr>
        <w:spacing w:before="300" w:after="30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color w:val="333399"/>
          <w:u w:val="single"/>
          <w:lang w:eastAsia="hr-HR"/>
        </w:rPr>
        <w:t>Prihvatljivi troškovi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>-  Ulaganja u dugotrajnu materijalnu i nematerijalnu imovinu, a sve u skladu s prihvatljivim namjenama po pojedinoj podm</w:t>
      </w:r>
      <w:r>
        <w:rPr>
          <w:rFonts w:eastAsia="Times New Roman" w:cs="Times New Roman"/>
          <w:lang w:eastAsia="hr-HR"/>
        </w:rPr>
        <w:t>jeri Programa ruralnog razvoja.</w:t>
      </w:r>
      <w:r w:rsidRPr="00D43224">
        <w:rPr>
          <w:rFonts w:eastAsia="Times New Roman" w:cs="Times New Roman"/>
          <w:lang w:eastAsia="hr-HR"/>
        </w:rPr>
        <w:br/>
        <w:t>-  Financiranje obrtnih sredstava povezanih s ulaganjem (do 30% iznosa prihvatljivih troškova ulaganja ili 200.000 EUR, ovisno o tome koje je iznos viši).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lastRenderedPageBreak/>
        <w:br/>
        <w:t>Investicijski krediti za ruralni razvoj mogu se koristiti za restrukturiranje, modernizaciju i povećanje konkurentnosti poljoprivrednih gospodarstava, zbrinjavanje, rukovanje i korištenje stajskog gnojiva u cilju smanjenja štetnog utjecaja na okoliš, korištenje obnovljivih izvora energije, povećanje dodane vrijednosti poljoprivrednim proizvodima, razvoj nepoljoprivrednih djelatnosti u ruralnim područjima kao i modernizaciju tehnologija, strojeva, alata i opreme pri dobivanju drva i šumskouzgojnim radovima te u predindustrijskoj preradi drva.</w:t>
      </w:r>
    </w:p>
    <w:p w:rsidR="00D43224" w:rsidRPr="00D43224" w:rsidRDefault="00D43224" w:rsidP="00D43224">
      <w:pPr>
        <w:spacing w:before="300" w:after="300" w:line="240" w:lineRule="auto"/>
        <w:ind w:left="300" w:right="300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color w:val="333399"/>
          <w:u w:val="single"/>
          <w:lang w:eastAsia="hr-HR"/>
        </w:rPr>
        <w:t>Prihvatljive mjere</w:t>
      </w:r>
      <w:r w:rsidRPr="00D43224">
        <w:rPr>
          <w:rFonts w:eastAsia="Times New Roman" w:cs="Times New Roman"/>
          <w:lang w:eastAsia="hr-HR"/>
        </w:rPr>
        <w:br/>
      </w:r>
      <w:r w:rsidRPr="00D43224">
        <w:rPr>
          <w:rFonts w:eastAsia="Times New Roman" w:cs="Times New Roman"/>
          <w:lang w:eastAsia="hr-HR"/>
        </w:rPr>
        <w:br/>
        <w:t>Ulaganja su moguća u sljedećim mjerama, podmjerama i tipovima operacija Programa ruralnog razvoja Republike Hrvatske za razdoblje 2014.-2020. (PRR):</w:t>
      </w:r>
    </w:p>
    <w:tbl>
      <w:tblPr>
        <w:tblW w:w="9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9"/>
        <w:gridCol w:w="4271"/>
      </w:tblGrid>
      <w:tr w:rsidR="00D43224" w:rsidRPr="00D43224" w:rsidTr="00D4322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24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b/>
                <w:bCs/>
                <w:lang w:eastAsia="hr-HR"/>
              </w:rPr>
              <w:br/>
              <w:t>Mjera 4. Ulaganja u fizičku imovinu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Podmjera 4.1. Ulaganja u poljoprivredna gospodarstva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4.1.1. Restrukturiranje, modernizacija i povećanje konkurentnosti poljoprivrednih gospodarstava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4.1.2. Zbrinjavanje, rukovanje i korištenje stajskog gnojiva u cilju smanjenja štetnog utjecaja na okoliš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4.1.3. Korištenje obnovljivih izvora energije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24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b/>
                <w:bCs/>
                <w:lang w:eastAsia="hr-HR"/>
              </w:rPr>
              <w:br/>
              <w:t>Mjera 6. Razvoj poljoprivrednih gospodarstava i poslovanja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Podmjera 6.4. Ulaganja u razvoj nepoljoprivrednih djelatnosti u ruralnim područjima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6.4.1. Razvoj nepoljoprivrednih djelatnosti u ruralnim područjima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24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b/>
                <w:bCs/>
                <w:lang w:eastAsia="hr-HR"/>
              </w:rPr>
              <w:br/>
              <w:t>Mjera 8. Ulaganja u razvoj šumskih područja i poboljšanje održivosti šuma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Podmjera 8.6. Potpora za ulaganja u šumarske tehnologije te u preradu, mobilizaciju i marketing šumskih proizvoda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8.6.1. Modernizacija tehnologija, strojeva, alata i opreme u pridobivanju drva i šumskouzgojnim radovima</w:t>
            </w:r>
          </w:p>
        </w:tc>
      </w:tr>
      <w:tr w:rsidR="00D43224" w:rsidRPr="00D43224" w:rsidTr="00D432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224" w:rsidRPr="00D43224" w:rsidRDefault="00D43224" w:rsidP="00D4322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43224">
              <w:rPr>
                <w:rFonts w:eastAsia="Times New Roman" w:cs="Times New Roman"/>
                <w:lang w:eastAsia="hr-HR"/>
              </w:rPr>
              <w:t>Tip operacije 8.6.2. Modernizacija tehnologija, strojeva, alata i opreme u predindustrijskoj preradi drva</w:t>
            </w:r>
          </w:p>
        </w:tc>
      </w:tr>
    </w:tbl>
    <w:p w:rsidR="00D43224" w:rsidRPr="00D43224" w:rsidRDefault="00D43224" w:rsidP="00D43224">
      <w:pPr>
        <w:spacing w:before="300" w:after="240" w:line="240" w:lineRule="auto"/>
        <w:ind w:left="300" w:right="300"/>
        <w:jc w:val="both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color w:val="C4040F"/>
          <w:lang w:eastAsia="hr-HR"/>
        </w:rPr>
        <w:br/>
        <w:t xml:space="preserve">Krediti su dostupni do iskorištenja sredstava. </w:t>
      </w:r>
    </w:p>
    <w:p w:rsidR="00D43224" w:rsidRPr="00D43224" w:rsidRDefault="00D43224" w:rsidP="00D4322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D43224">
        <w:rPr>
          <w:rFonts w:eastAsia="Times New Roman" w:cs="Times New Roman"/>
          <w:b/>
          <w:bCs/>
          <w:lang w:eastAsia="hr-HR"/>
        </w:rPr>
        <w:t>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224"/>
    <w:rsid w:val="000D4A4D"/>
    <w:rsid w:val="001129D4"/>
    <w:rsid w:val="00325C9F"/>
    <w:rsid w:val="003844FA"/>
    <w:rsid w:val="00824ACF"/>
    <w:rsid w:val="00BB4972"/>
    <w:rsid w:val="00D4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22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43224"/>
    <w:rPr>
      <w:b/>
      <w:bCs/>
    </w:rPr>
  </w:style>
  <w:style w:type="character" w:styleId="Emphasis">
    <w:name w:val="Emphasis"/>
    <w:basedOn w:val="DefaultParagraphFont"/>
    <w:uiPriority w:val="20"/>
    <w:qFormat/>
    <w:rsid w:val="00D432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4975</Characters>
  <Application>Microsoft Office Word</Application>
  <DocSecurity>0</DocSecurity>
  <Lines>41</Lines>
  <Paragraphs>11</Paragraphs>
  <ScaleCrop>false</ScaleCrop>
  <Company>Grizli777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2019-09-30T06:50:00Z</dcterms:created>
  <dcterms:modified xsi:type="dcterms:W3CDTF">2019-09-30T06:52:00Z</dcterms:modified>
</cp:coreProperties>
</file>