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Trpanj, </w:t>
      </w:r>
      <w:r>
        <w:rPr>
          <w:rFonts w:ascii="Times New Roman" w:hAnsi="Times New Roman"/>
          <w:b/>
          <w:i/>
          <w:sz w:val="24"/>
          <w:szCs w:val="24"/>
        </w:rPr>
        <w:t>19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lipnja</w:t>
      </w:r>
      <w:r>
        <w:rPr>
          <w:rFonts w:ascii="Times New Roman" w:hAnsi="Times New Roman"/>
          <w:b/>
          <w:i/>
          <w:sz w:val="24"/>
          <w:szCs w:val="24"/>
        </w:rPr>
        <w:t xml:space="preserve"> 2019. godine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CJENIK I NAČIN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PLAĆANJA  USLUGE GOSPODARENJA OTPADOM ZA KATEGORIJU KUĆANSTAVA, GOSPODARSKIH, OBRAZOVNIH, ZDRAVSTVENIH I UGOSTITELJSKIH TE OSTALIH OBJEKATA PREMA NJIHOVOJ NAMJENI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Predmet: Cjenik usluga gospodarenja otpadom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</w:rPr>
        <w:t>Molimo Vas da nam sukladno članku 55. Zakona o komunalnom gospodarstvu (</w:t>
      </w:r>
      <w:r>
        <w:rPr>
          <w:rFonts w:ascii="Times New Roman" w:hAnsi="Times New Roman"/>
          <w:sz w:val="24"/>
          <w:szCs w:val="24"/>
          <w:highlight w:val="white"/>
        </w:rPr>
        <w:t>„Narodne novine“ br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oj </w:t>
      </w:r>
      <w:hyperlink r:id="rId2">
        <w:r>
          <w:rPr>
            <w:rStyle w:val="InternetLink"/>
            <w:rFonts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highlight w:val="white"/>
            <w:u w:val="none"/>
            <w:effect w:val="none"/>
          </w:rPr>
          <w:t>68/18</w:t>
        </w:r>
      </w:hyperlink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, </w:t>
      </w:r>
      <w:hyperlink r:id="rId3">
        <w:r>
          <w:rPr>
            <w:rStyle w:val="InternetLink"/>
            <w:rFonts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highlight w:val="white"/>
            <w:u w:val="none"/>
            <w:effect w:val="none"/>
          </w:rPr>
          <w:t>110/18</w:t>
        </w:r>
      </w:hyperlink>
      <w:r>
        <w:rPr>
          <w:rFonts w:ascii="Times New Roman" w:hAnsi="Times New Roman"/>
          <w:sz w:val="24"/>
          <w:szCs w:val="24"/>
          <w:highlight w:val="white"/>
        </w:rPr>
        <w:t>) te sukladno članku 30. Zakona o održivom gospodarenju otpadom („Narodne novine“ broj 94/13, 73/17, 14/19) kao načelnik općine Trpanj i kao Skupština društva date Suglasnost na sljedeći prijedlog nadopune i izmjene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 cjenika i načine plaćanja usluge gospodarenja otpadom za kategoriju kućanstava, gospodarskih, obrazovnih, zdravstvenih i ugostiteljskih te ostalih objekata prema njihovoj namjeni, kako slijedi: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I. OPĆE ODREDBE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Članak 1.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Ovom Odlukom utvrđuje se dopuna i izmjena cjenika i načina plaćanja komunalne usluge gospodarenja otpadom za potrošače u kućanstvu, gospodarskim, obrazovnim, zdravstvenim, ugostiteljskim i drugim objektima, prema njihovoj namjeni.</w:t>
      </w:r>
    </w:p>
    <w:p>
      <w:pPr>
        <w:pStyle w:val="Normal"/>
        <w:spacing w:lineRule="auto" w:line="360"/>
        <w:jc w:val="both"/>
        <w:rPr>
          <w:highlight w:val="whit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Članak 2.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Obračun komunalne usluge plaća se isporučitelju komunalne usluge na način i prema cijenama utvrđenim ovim Cjenikom.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Obveznici plaćanja cijene komunalne usluge su vlasnici nekretnine ili korisnik iste, kada je vlasnik to pravo prenio na korisnika ugovorom.</w:t>
      </w:r>
    </w:p>
    <w:p>
      <w:pPr>
        <w:pStyle w:val="TextBody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en-US"/>
        </w:rPr>
        <w:t>Članak 3.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Potrošač može račun za komunalnu uslugu platiti na način utvrđen važećim zakonskim propisima.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4.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Rok za podmirenje računa za komunalnu uslugu otisnut je na svakom ispostavljenom računu.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Ukoliko potrošač ne plati račun u roku iz stavka 1. ovog članka, isporučitelj može zaračunati zatezne kamate u skladu s važećim zakonskim propisima. 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Ukoliko potrošač ne plati dva (2) uzastopna računa u obračunskom razdoblju, isporučitelj zadržava pravo ukidanja usluge, te nastavak pružanja minimalne usluge predviđene Uredbom o gospodarenju otpadom (NN 50/17).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5.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Potrošač je dužan pismeno izvijestiti isporučitelja usluge o svakoj promjeni vlasništva nekretnine, adrese kao i svakoj drugoj bitnoj promjeni odmah, a najkasnije u roku od 15 dana od nastanka promjene. 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Promjena obvezuje isporučitelja od dana primitka iste.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6.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Potrošač ima pravo prigovora (reklamacije) na obračun komunalne usluge u pismenom obliku u roku od 15 dana od izdavanja računa.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Isporučitelj komunalne usluge dužan je odgovoriti na prigovor u roku od 15 dana od dostave prigovora.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Ako je isporučitelj komunalne usluge uvažio prigovor, dužan je izvršiti usklađivanje obračuna u poslovnim knjigama najkasnije do ispostavljanja narednog računa s novim obračunom.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II. OBRAČUN KOMUNALNE USLUGE GOSPODARENJA OTPADOM</w:t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7.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Strukturu cijene javne usluge prikupljanja miješanog komunalnog otpada i biorazgradivog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komunalnog otpada čini: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1. cijena javne usluge za količinu predanog miješanog komunalnog otpada (varijabilni dio cijene) pri čemu je kriterij količine otpada u obračunskom razdoblju volumen spremnika otpada i broj pražnjenja prema izrazu: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C = JCV * BP * U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gdje je: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- cijena javne usluge za količinu predanog miješanog komunalnog otpada izražena u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kunama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iCs/>
          <w:color w:val="000000"/>
          <w:sz w:val="24"/>
          <w:szCs w:val="24"/>
        </w:rPr>
        <w:t>JCV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- jedinična cijena za pražnjenje volumena spremnika miješanog komunalnog otpada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izražena u kunama sukladno cjeniku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iCs/>
          <w:color w:val="000000"/>
          <w:sz w:val="24"/>
          <w:szCs w:val="24"/>
        </w:rPr>
        <w:t>BP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- broj pražnjenja spremnika miješanog komunalnog otpada u obračunskom razdoblju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iCs/>
          <w:color w:val="000000"/>
          <w:sz w:val="24"/>
          <w:szCs w:val="24"/>
        </w:rPr>
        <w:t>U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- udio korisnika usluge u korištenju spremnika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 cijena obvezne minimalne javne usluge (fiksni dio cijene)</w:t>
      </w:r>
    </w:p>
    <w:tbl>
      <w:tblPr>
        <w:tblW w:w="9360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2952"/>
        <w:gridCol w:w="1980"/>
        <w:gridCol w:w="1308"/>
        <w:gridCol w:w="3119"/>
      </w:tblGrid>
      <w:tr>
        <w:trPr/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Vrsta korisnika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fiksni dio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fiksni dio ukupno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Domaćinstvo (svi spremnici)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113,00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Privreda (svi spremnici)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113,00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ab/>
        <w:t>3. cijena ugovorne kazne – regulirana Odlukom općinskog vijeća Općine Trpanj.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single"/>
          <w:lang w:val="en-US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CIJENE PREMA SPREMNICIMA:</w:t>
      </w:r>
    </w:p>
    <w:p>
      <w:pPr>
        <w:pStyle w:val="Normal"/>
        <w:spacing w:lineRule="auto" w:line="240" w:before="57" w:after="57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  <w:u w:val="single"/>
        </w:rPr>
        <w:t>1. Cijena javne usluge za količinu predanog miješanog komunalnog otpada za kućanstva iznosi:</w:t>
      </w:r>
    </w:p>
    <w:tbl>
      <w:tblPr>
        <w:tblW w:w="9384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8"/>
        <w:gridCol w:w="1704"/>
        <w:gridCol w:w="1188"/>
        <w:gridCol w:w="2244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PDV 13% 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HRK / pražnjenje </w:t>
            </w:r>
          </w:p>
        </w:tc>
      </w:tr>
      <w:tr>
        <w:trPr>
          <w:trHeight w:val="435" w:hRule="atLeast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0,05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6,00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0,78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6,78</w:t>
            </w:r>
          </w:p>
        </w:tc>
      </w:tr>
      <w:tr>
        <w:trPr>
          <w:trHeight w:val="228" w:hRule="atLeast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0,05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12,00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1,56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13,56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0,05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55,00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7,15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62,15</w:t>
            </w:r>
          </w:p>
        </w:tc>
      </w:tr>
      <w:tr>
        <w:trPr>
          <w:trHeight w:val="516" w:hRule="atLeast"/>
        </w:trPr>
        <w:tc>
          <w:tcPr>
            <w:tcW w:w="30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Za predio Selo – za nadogradnju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1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2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</w:tr>
      <w:tr>
        <w:trPr>
          <w:trHeight w:val="279" w:hRule="atLeast"/>
        </w:trPr>
        <w:tc>
          <w:tcPr>
            <w:tcW w:w="30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20 l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0,05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1,00</w:t>
            </w:r>
          </w:p>
        </w:tc>
        <w:tc>
          <w:tcPr>
            <w:tcW w:w="1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0,13</w:t>
            </w:r>
          </w:p>
        </w:tc>
        <w:tc>
          <w:tcPr>
            <w:tcW w:w="2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1,13</w:t>
            </w:r>
          </w:p>
        </w:tc>
      </w:tr>
    </w:tbl>
    <w:p>
      <w:pPr>
        <w:pStyle w:val="Normal"/>
        <w:spacing w:lineRule="auto" w:line="240" w:before="57" w:after="57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  <w:u w:val="single"/>
        </w:rPr>
      </w:r>
    </w:p>
    <w:p>
      <w:pPr>
        <w:pStyle w:val="Normal"/>
        <w:spacing w:lineRule="auto" w:line="240" w:before="57" w:after="57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  <w:u w:val="none"/>
        </w:rPr>
        <w:t>2. Cijena javne usluge za količinu predanog miješanog komunalnog otpada za hotelske objekte iznosi:</w:t>
      </w:r>
    </w:p>
    <w:tbl>
      <w:tblPr>
        <w:tblW w:w="9384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8"/>
        <w:gridCol w:w="1704"/>
        <w:gridCol w:w="1188"/>
        <w:gridCol w:w="2244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HRK/ 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PDV 13% 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u w:val="none"/>
              </w:rPr>
              <w:t xml:space="preserve">HRK / pražnjenje 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1,30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156,00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20,28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</w:rPr>
              <w:t>176,28</w:t>
            </w:r>
          </w:p>
        </w:tc>
      </w:tr>
      <w:tr>
        <w:trPr>
          <w:trHeight w:val="402" w:hRule="atLeast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Standardizirani spremnik 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1,30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1.430,00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185,90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1.615,90</w:t>
            </w:r>
          </w:p>
        </w:tc>
      </w:tr>
      <w:tr>
        <w:trPr>
          <w:trHeight w:val="384" w:hRule="atLeast"/>
        </w:trPr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1,30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312,00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40,56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 w:before="57" w:after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352,56</w:t>
            </w:r>
          </w:p>
        </w:tc>
      </w:tr>
    </w:tbl>
    <w:p>
      <w:pPr>
        <w:pStyle w:val="Normal"/>
        <w:spacing w:lineRule="auto" w:line="240" w:before="57" w:after="57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  <w:u w:val="none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  <w:u w:val="none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  <w:t>3. Cijena javne usluge za količinu predanog miješanog komunalnog otpada za ugostiteljstvo iznosi: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i/>
          <w:i/>
          <w:iCs/>
          <w:color w:val="800000"/>
          <w:sz w:val="22"/>
          <w:szCs w:val="22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color w:val="800000"/>
          <w:sz w:val="22"/>
          <w:szCs w:val="22"/>
          <w:u w:val="single"/>
        </w:rPr>
        <w:t>cjelogodišnje poslovanje</w:t>
      </w:r>
    </w:p>
    <w:tbl>
      <w:tblPr>
        <w:tblW w:w="9341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2950"/>
        <w:gridCol w:w="1248"/>
        <w:gridCol w:w="1704"/>
        <w:gridCol w:w="1188"/>
        <w:gridCol w:w="2251"/>
      </w:tblGrid>
      <w:tr>
        <w:trPr/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HRK / pražnjenje </w:t>
            </w:r>
          </w:p>
        </w:tc>
      </w:tr>
      <w:tr>
        <w:trPr/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40,68</w:t>
            </w:r>
          </w:p>
        </w:tc>
      </w:tr>
      <w:tr>
        <w:trPr/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9,36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81,36</w:t>
            </w:r>
          </w:p>
        </w:tc>
      </w:tr>
      <w:tr>
        <w:trPr/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42,90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72,90</w:t>
            </w:r>
          </w:p>
        </w:tc>
      </w:tr>
      <w:tr>
        <w:trPr/>
        <w:tc>
          <w:tcPr>
            <w:tcW w:w="29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Predio Selo – za nadogradnju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9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0,30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1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0,78</w:t>
            </w:r>
          </w:p>
        </w:tc>
        <w:tc>
          <w:tcPr>
            <w:tcW w:w="2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6,78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iCs/>
          <w:sz w:val="22"/>
          <w:szCs w:val="22"/>
          <w:u w:val="single"/>
        </w:rPr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i/>
          <w:i/>
          <w:color w:val="8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color w:val="800000"/>
          <w:sz w:val="22"/>
          <w:szCs w:val="22"/>
          <w:u w:val="single"/>
        </w:rPr>
        <w:t>sezonsko poslovanje</w:t>
      </w:r>
    </w:p>
    <w:tbl>
      <w:tblPr>
        <w:tblW w:w="9384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8"/>
        <w:gridCol w:w="1704"/>
        <w:gridCol w:w="1188"/>
        <w:gridCol w:w="2244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HRK / pražnjenje 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47,46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10,92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94,92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50,05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435,05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Predio Selo – za nadogradnju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0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  <w:tc>
          <w:tcPr>
            <w:tcW w:w="1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0,91</w:t>
            </w:r>
          </w:p>
        </w:tc>
        <w:tc>
          <w:tcPr>
            <w:tcW w:w="2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7,91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  <w:t>4. Cijena javne usluge za količinu predanog miješanog komunalnog otpada za trgovine i ostale objekte maloprodaje iznosi: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i/>
          <w:i/>
          <w:color w:val="8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color w:val="800000"/>
          <w:sz w:val="22"/>
          <w:szCs w:val="22"/>
          <w:u w:val="single"/>
        </w:rPr>
        <w:t>cjelogodišnje poslovanje</w:t>
      </w:r>
    </w:p>
    <w:tbl>
      <w:tblPr>
        <w:tblW w:w="9384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8"/>
        <w:gridCol w:w="1704"/>
        <w:gridCol w:w="1188"/>
        <w:gridCol w:w="2244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HRK / pražnjenje 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20,34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40,68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21,45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186,45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iCs/>
          <w:sz w:val="22"/>
          <w:szCs w:val="22"/>
          <w:u w:val="single"/>
        </w:rPr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i/>
          <w:i/>
          <w:color w:val="8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color w:val="8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800000"/>
          <w:sz w:val="22"/>
          <w:szCs w:val="22"/>
          <w:u w:val="single"/>
        </w:rPr>
        <w:t>sezonsko poslovanje</w:t>
      </w:r>
    </w:p>
    <w:tbl>
      <w:tblPr>
        <w:tblW w:w="9384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8"/>
        <w:gridCol w:w="1704"/>
        <w:gridCol w:w="1188"/>
        <w:gridCol w:w="2244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HRK / pražnjenje 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27,12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6,24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54,24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28,60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248,60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  <w:t>5. Cijena javne usluge za količinu predanog miješanog komunalnog otpada za kampove i apartmane iznosi:</w:t>
      </w:r>
    </w:p>
    <w:tbl>
      <w:tblPr>
        <w:tblW w:w="9384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8"/>
        <w:gridCol w:w="1704"/>
        <w:gridCol w:w="1188"/>
        <w:gridCol w:w="2244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HRK / pražnjenje 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20,34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40,68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21,45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186,45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  <w:t>6. Cijena javne usluge za količinu predanog miješanog komunalnog otpada za udruge, poslovne objekte i ustanove obrazovnog, općeg, zdravstvenog i drugog karaktera iznosi:</w:t>
      </w:r>
    </w:p>
    <w:tbl>
      <w:tblPr>
        <w:tblW w:w="9384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8"/>
        <w:gridCol w:w="1704"/>
        <w:gridCol w:w="1188"/>
        <w:gridCol w:w="2244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Volumen spremnika (litre)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/ litra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HRK / pražnjenje 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Standardizirani spremnik 120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6,78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spremnici: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13,56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7,15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62,15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</w:r>
    </w:p>
    <w:p>
      <w:pPr>
        <w:pStyle w:val="Normal"/>
        <w:spacing w:lineRule="auto" w:line="276"/>
        <w:rPr>
          <w:b/>
          <w:b/>
          <w:bCs/>
          <w:i w:val="false"/>
          <w:i w:val="false"/>
          <w:color w:val="000000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olor w:val="000000"/>
          <w:sz w:val="22"/>
          <w:szCs w:val="22"/>
        </w:rPr>
        <w:t>7. Cijena javne usluge za količinu predanog miješanog komunalnog otpada za marine, trajekt, lučki vez i ostale vezove:</w:t>
      </w:r>
    </w:p>
    <w:tbl>
      <w:tblPr>
        <w:tblW w:w="9408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15" w:type="dxa"/>
          <w:bottom w:w="50" w:type="dxa"/>
          <w:right w:w="50" w:type="dxa"/>
        </w:tblCellMar>
      </w:tblPr>
      <w:tblGrid>
        <w:gridCol w:w="3000"/>
        <w:gridCol w:w="1243"/>
        <w:gridCol w:w="1707"/>
        <w:gridCol w:w="1188"/>
        <w:gridCol w:w="2270"/>
      </w:tblGrid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Volumen spremnika (litre) 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>HRK / litra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HRK/spremnik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PDV 13% 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</w:rPr>
              <w:t xml:space="preserve">HRK / pražnjenje 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Standardizirani spremnik 120 l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20,28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176,28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Standardizirani spremnik 1100 l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1,30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1.430,00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185,90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1.615,90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spremnici: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 l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1,30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40,56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352,56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>
              <w:rPr>
                <w:rFonts w:ascii="Times New Roman" w:hAnsi="Times New Roman"/>
                <w:sz w:val="22"/>
                <w:szCs w:val="22"/>
              </w:rPr>
              <w:t>0 l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1,30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1.430,00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185,90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1.615,90</w:t>
            </w:r>
          </w:p>
        </w:tc>
      </w:tr>
    </w:tbl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8.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Do uspostave digitalne evidencije i novog rasporeda odvoza otpada primjenjuje se sljedeće: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- učestalost odvoza (pražnjenja) miješanog komunalnog otpada je minimalno jednom tjedno,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- povremenim korisnicima cijena javne usluge za količinu predanog miješanog komunalnog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otpada obračunava se za razdoblje od 01. lipnja do 30. rujna, ukoliko se Izjavom ne utvrdi drugačije,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iCs/>
          <w:color w:val="000000"/>
          <w:sz w:val="24"/>
          <w:szCs w:val="24"/>
        </w:rPr>
        <w:t>Napomena: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Za nekretninu koja se trajno ne koristi, odnosno za koju je utvrđeno da se na temelju očitovanja vlasnika nekretnine i očitanja mjernih uređaja za potrošnju električne energije i vode utvrdi nekorištenje, ne obračunava se cijena obvezne minimalne javne usluge i cijena javne usluge za količinu predanog miješanog komunalnog otpada. Očitovanje vlasnika nekretnine daje se za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tekuću kalendarsku godinu,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- utvrđuje se 12 obračunskih razdoblja u godini.</w:t>
      </w:r>
    </w:p>
    <w:p>
      <w:pPr>
        <w:pStyle w:val="Normal"/>
        <w:spacing w:lineRule="auto" w:line="360"/>
        <w:rPr>
          <w:rFonts w:ascii="Times New Roman" w:hAnsi="Times New Roman"/>
          <w:bCs w:val="false"/>
          <w:caps w:val="false"/>
          <w:smallCaps w:val="false"/>
          <w:spacing w:val="0"/>
          <w:sz w:val="24"/>
          <w:szCs w:val="24"/>
          <w:lang w:val="en-US"/>
        </w:rPr>
      </w:pPr>
      <w:r>
        <w:rPr>
          <w:rFonts w:ascii="Times New Roman" w:hAnsi="Times New Roman"/>
          <w:bCs w:val="false"/>
          <w:caps w:val="false"/>
          <w:smallCaps w:val="false"/>
          <w:spacing w:val="0"/>
          <w:sz w:val="24"/>
          <w:szCs w:val="24"/>
          <w:lang w:val="en-US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9.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Za privremene/povremene korisnike koji obavljaju djelatnost sezonski, korisnici usluge dužni su isporučitelju usluge dostaviti dokaz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o sezonskom radu u objektu (uvjerenje ili potvrda nadležnog tijela).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  <w:lang w:val="en-US"/>
        </w:rPr>
      </w:r>
    </w:p>
    <w:p>
      <w:pPr>
        <w:pStyle w:val="TextBody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10.</w:t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Isporučitelj komunalne usluge dužan je najmanje 8 dana prije obustavljanja pružanja komunalne usluge iz razloga navedenih u stavku 2. članak 4. ove Odluke, korisniku (potrošaču) dostaviti obavijest o prestanku pružanja komunalne usluge.</w:t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Ako korisnik otkloni nedostatke odnosno uzrok zbog kojeg se obustavlja pružanje komunalnih usluga najmanje 24 sata prije vremena određenog za obustavu pružanja komunalne usluge, isporučitelj neće obustaviti pružanje komunalne usluge.</w:t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III. ZAVRŠNE ODREDBE</w:t>
      </w:r>
    </w:p>
    <w:p>
      <w:pPr>
        <w:pStyle w:val="TextBody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11.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Ova Odluka objavljuje se u službenom glasilu Dubrovačko-Neretvanske županije (Službene novine).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12.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Ova Odluka stupa na snagu nakon pribavljanja prethodnih suglasnosti načelnika Općine Trpanj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.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ab/>
        <w:tab/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U Trpnju, dana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19. lipnja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2019. godine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ab/>
        <w:tab/>
        <w:tab/>
        <w:tab/>
        <w:tab/>
        <w:tab/>
        <w:tab/>
        <w:tab/>
        <w:tab/>
        <w:t>Za Komunalno Trpanj d.o.o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ab/>
        <w:tab/>
        <w:tab/>
        <w:tab/>
        <w:tab/>
        <w:tab/>
        <w:tab/>
        <w:tab/>
        <w:tab/>
        <w:tab/>
        <w:t>Renata Ivandić</w:t>
      </w:r>
    </w:p>
    <w:p>
      <w:pPr>
        <w:pStyle w:val="TextBody"/>
        <w:widowControl/>
        <w:tabs>
          <w:tab w:val="center" w:pos="4536" w:leader="none"/>
          <w:tab w:val="left" w:pos="6465" w:leader="none"/>
          <w:tab w:val="right" w:pos="9072" w:leader="none"/>
        </w:tabs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ab/>
        <w:tab/>
        <w:tab/>
        <w:t>direktorica/član uprave</w:t>
        <w:tab/>
        <w:tab/>
        <w:tab/>
        <w:tab/>
        <w:tab/>
        <w:tab/>
        <w:t>M.P.</w:t>
      </w:r>
    </w:p>
    <w:p>
      <w:pPr>
        <w:pStyle w:val="Header"/>
        <w:widowControl/>
        <w:tabs>
          <w:tab w:val="center" w:pos="4536" w:leader="none"/>
          <w:tab w:val="left" w:pos="6465" w:leader="none"/>
          <w:tab w:val="right" w:pos="9072" w:leader="none"/>
        </w:tabs>
        <w:bidi w:val="0"/>
        <w:spacing w:lineRule="auto" w:line="360"/>
        <w:ind w:left="0" w:right="0" w:hanging="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1134" w:right="1016" w:header="372" w:top="1788" w:footer="0" w:bottom="113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/>
        <w:bCs/>
        <w:color w:val="008000"/>
        <w:sz w:val="20"/>
        <w:szCs w:val="20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72390</wp:posOffset>
          </wp:positionH>
          <wp:positionV relativeFrom="paragraph">
            <wp:posOffset>-21590</wp:posOffset>
          </wp:positionV>
          <wp:extent cx="1711960" cy="65722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8000"/>
        <w:sz w:val="20"/>
        <w:szCs w:val="20"/>
      </w:rPr>
      <w:tab/>
    </w:r>
    <w:r>
      <w:rPr>
        <w:rFonts w:ascii="Times New Roman" w:hAnsi="Times New Roman"/>
        <w:b/>
        <w:bCs/>
        <w:color w:val="008000"/>
        <w:sz w:val="20"/>
        <w:szCs w:val="20"/>
      </w:rPr>
      <w:t xml:space="preserve">                                                              Put Dubokog doca 3, 20240 Trpanj    Radno vrijeme:  07:00-15:00</w:t>
    </w:r>
  </w:p>
  <w:p>
    <w:pPr>
      <w:pStyle w:val="Header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/>
        <w:bCs/>
        <w:color w:val="008000"/>
        <w:sz w:val="20"/>
        <w:szCs w:val="20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OIB: 54389735230                      </w:t>
      <w:tab/>
      <w:t>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eastAsia="SimSun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Heading9Char">
    <w:name w:val="Heading 9 Char"/>
    <w:basedOn w:val="DefaultParagraphFont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basedOn w:val="DefaultParagraphFont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basedOn w:val="DefaultParagraphFont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basedOn w:val="DefaultParagraphFont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basedOn w:val="DefaultParagraphFont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basedOn w:val="DefaultParagraphFont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basedOn w:val="DefaultParagraphFont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akon.hr/cms.htm?id=35769" TargetMode="External"/><Relationship Id="rId3" Type="http://schemas.openxmlformats.org/officeDocument/2006/relationships/hyperlink" Target="https://www.zakon.hr/cms.htm?id=35765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1620</TotalTime>
  <Application>LibreOffice/5.3.4.2$Windows_X86_64 LibreOffice_project/f82d347ccc0be322489bf7da61d7e4ad13fe2ff3</Application>
  <Pages>6</Pages>
  <Words>1247</Words>
  <Characters>7376</Characters>
  <CharactersWithSpaces>8516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creator/>
  <dc:description/>
  <dc:language>hr-HR</dc:language>
  <cp:lastModifiedBy/>
  <dcterms:modified xsi:type="dcterms:W3CDTF">2019-06-19T08:41:57Z</dcterms:modified>
  <cp:revision>16</cp:revision>
  <dc:subject/>
  <dc:title/>
</cp:coreProperties>
</file>