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276"/>
        <w:rPr>
          <w:rFonts w:ascii="Times New Roman" w:hAnsi="Times New Roman"/>
          <w:b/>
          <w:b/>
          <w:bCs/>
          <w:color w:val="008000"/>
          <w:sz w:val="24"/>
          <w:szCs w:val="24"/>
          <w:lang w:val="hr-HR" w:bidi="hi-IN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lang w:val="hr-HR" w:bidi="hi-IN"/>
        </w:rPr>
      </w:r>
    </w:p>
    <w:p>
      <w:pPr>
        <w:pStyle w:val="Header"/>
        <w:widowControl/>
        <w:tabs>
          <w:tab w:val="center" w:pos="4536" w:leader="none"/>
          <w:tab w:val="left" w:pos="6465" w:leader="none"/>
          <w:tab w:val="right" w:pos="9072" w:leader="none"/>
        </w:tabs>
        <w:bidi w:val="0"/>
        <w:spacing w:lineRule="auto" w:line="276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u w:val="none"/>
          <w:lang w:val="hr-HR" w:bidi="hi-IN"/>
        </w:rPr>
        <w:t xml:space="preserve">Trpanj, dana </w:t>
      </w:r>
      <w:r>
        <w:rPr>
          <w:rFonts w:ascii="Times New Roman" w:hAnsi="Times New Roman"/>
          <w:sz w:val="24"/>
          <w:szCs w:val="24"/>
          <w:u w:val="none"/>
          <w:lang w:val="hr-HR" w:bidi="hi-IN"/>
        </w:rPr>
        <w:t>17</w:t>
      </w:r>
      <w:r>
        <w:rPr>
          <w:rFonts w:ascii="Times New Roman" w:hAnsi="Times New Roman"/>
          <w:sz w:val="24"/>
          <w:szCs w:val="24"/>
          <w:u w:val="none"/>
          <w:lang w:val="hr-HR" w:bidi="hi-IN"/>
        </w:rPr>
        <w:t xml:space="preserve">. </w:t>
      </w:r>
      <w:r>
        <w:rPr>
          <w:rFonts w:ascii="Times New Roman" w:hAnsi="Times New Roman"/>
          <w:sz w:val="24"/>
          <w:szCs w:val="24"/>
          <w:u w:val="none"/>
          <w:lang w:val="hr-HR" w:bidi="hi-IN"/>
        </w:rPr>
        <w:t>srp</w:t>
      </w:r>
      <w:r>
        <w:rPr>
          <w:rFonts w:ascii="Times New Roman" w:hAnsi="Times New Roman"/>
          <w:sz w:val="24"/>
          <w:szCs w:val="24"/>
          <w:u w:val="none"/>
          <w:lang w:val="hr-HR" w:bidi="hi-IN"/>
        </w:rPr>
        <w:t>nja 2019. godine</w:t>
      </w:r>
    </w:p>
    <w:p>
      <w:pPr>
        <w:pStyle w:val="Header"/>
        <w:widowControl/>
        <w:tabs>
          <w:tab w:val="center" w:pos="4536" w:leader="none"/>
          <w:tab w:val="left" w:pos="6400" w:leader="none"/>
          <w:tab w:val="right" w:pos="9072" w:leader="none"/>
        </w:tabs>
        <w:bidi w:val="0"/>
        <w:spacing w:lineRule="auto" w:line="276"/>
        <w:ind w:left="0" w:right="0" w:hanging="0"/>
        <w:jc w:val="left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ascii="Times New Roman" w:hAnsi="Times New Roman"/>
          <w:sz w:val="24"/>
          <w:szCs w:val="24"/>
          <w:u w:val="none"/>
          <w:lang w:val="hr-HR" w:bidi="hi-IN"/>
        </w:rPr>
        <w:tab/>
        <w:tab/>
        <w:t>Zainteresiranim subjektima</w:t>
      </w:r>
    </w:p>
    <w:p>
      <w:pPr>
        <w:pStyle w:val="Header"/>
        <w:widowControl/>
        <w:tabs>
          <w:tab w:val="center" w:pos="4536" w:leader="none"/>
          <w:tab w:val="left" w:pos="6400" w:leader="none"/>
          <w:tab w:val="right" w:pos="9072" w:leader="none"/>
        </w:tabs>
        <w:bidi w:val="0"/>
        <w:spacing w:lineRule="auto" w:line="276"/>
        <w:ind w:left="0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Header"/>
        <w:widowControl/>
        <w:tabs>
          <w:tab w:val="center" w:pos="4536" w:leader="none"/>
          <w:tab w:val="left" w:pos="6400" w:leader="none"/>
          <w:tab w:val="right" w:pos="9072" w:leader="none"/>
        </w:tabs>
        <w:bidi w:val="0"/>
        <w:spacing w:lineRule="auto" w:line="276"/>
        <w:ind w:left="0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Header"/>
        <w:widowControl/>
        <w:tabs>
          <w:tab w:val="center" w:pos="4536" w:leader="none"/>
          <w:tab w:val="left" w:pos="6400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ascii="Times New Roman" w:hAnsi="Times New Roman"/>
          <w:b/>
          <w:bCs/>
          <w:sz w:val="24"/>
          <w:szCs w:val="24"/>
          <w:u w:val="none"/>
          <w:lang w:val="hr-HR" w:bidi="hi-IN"/>
        </w:rPr>
        <w:t>JAVNI POZIV</w:t>
      </w:r>
    </w:p>
    <w:p>
      <w:pPr>
        <w:pStyle w:val="Header"/>
        <w:widowControl/>
        <w:tabs>
          <w:tab w:val="center" w:pos="4536" w:leader="none"/>
          <w:tab w:val="left" w:pos="6400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ascii="Times New Roman" w:hAnsi="Times New Roman"/>
          <w:b/>
          <w:bCs/>
          <w:sz w:val="24"/>
          <w:szCs w:val="24"/>
          <w:u w:val="none"/>
          <w:lang w:val="hr-HR" w:bidi="hi-IN"/>
        </w:rPr>
        <w:t>ZA PODNOŠENJE PRIJAVA ZA IZDAVANJE PARKIRALIŠNIH KARTI I ZAKUP REZERVIRANOG PARKIRALIŠNOG MJESTA U NASELJU TRPANJ</w:t>
      </w:r>
    </w:p>
    <w:p>
      <w:pPr>
        <w:pStyle w:val="Normal"/>
        <w:spacing w:lineRule="auto" w:line="276"/>
        <w:ind w:firstLine="708"/>
        <w:jc w:val="both"/>
        <w:rPr>
          <w:rFonts w:eastAsia="" w:eastAsiaTheme="minorHAnsi"/>
          <w:lang w:eastAsia="en-US"/>
        </w:rPr>
      </w:pPr>
      <w:r>
        <w:rPr>
          <w:rFonts w:eastAsia="" w:eastAsiaTheme="minorHAnsi"/>
          <w:lang w:eastAsia="en-US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 xml:space="preserve">Sukladno odlukama Općinskog vijeća Općine Trpanj, od dana 16. lipnja 2019., tvrtci Komunalno Trpanj d.o.o. (u daljnjem tekstu: Organizator parkiranja) je dodijeljena djelatnost pružanja usluge naplate parkiranja na području Općine Trpanj. Sukladno tome, a ovim putem Organizator  parkiranja obavještava i poziva </w:t>
      </w:r>
      <w:r>
        <w:rPr>
          <w:rFonts w:eastAsia="" w:ascii="Times New Roman" w:hAnsi="Times New Roman" w:eastAsiaTheme="minorHAnsi"/>
          <w:b/>
          <w:sz w:val="24"/>
          <w:szCs w:val="24"/>
          <w:lang w:val="hr-HR" w:eastAsia="en-US" w:bidi="hi-IN"/>
        </w:rPr>
        <w:t>sve zainteresirane pravne i fizičke osobe</w:t>
      </w: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 xml:space="preserve"> da započinje sa </w:t>
      </w: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 xml:space="preserve">naplatom velikog parkirališta u ulici Donje Kuće, koje pretežno koriste stanovnici predjela zvanog Selo te započinje sa </w:t>
      </w: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 xml:space="preserve">prodajom parkirališnih karata. </w:t>
      </w: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Ovim putem se p</w:t>
      </w: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oziva zainteresirane osobe da podnesu zahtjev za izdavanjem parkirališne karte ili predaju zahtjev za zakup rezerviranog parkirališnog mjesta u naselju Trpanj i to za sljedeće parkinge: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ulici Dinka Fabrisa (parkiralište ''Donje polje''),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ulici Put Dubokog doca (parkiralište ''Park I''),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Ul. Kralja Tomislava (parkiralište "Ispod crkve''),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b/>
          <w:bCs/>
          <w:sz w:val="24"/>
          <w:szCs w:val="24"/>
          <w:lang w:val="hr-HR" w:eastAsia="en-US" w:bidi="hi-IN"/>
        </w:rPr>
        <w:t>Parkirna mjesta u ulici Donje Kuće (parkiralište "Gornje polje")</w:t>
      </w: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ulici Zabrižak (parkiralište “Park II”),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ulici Potok (parkiralište “Dekoviće”),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ulici Potok (parkiralište “Obilaznica”)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u ulici Put Vila (parkiralište “Vile I”),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Parkiran mjesta u ulici Put Vila (parkiralište “Vile II”).</w:t>
      </w:r>
    </w:p>
    <w:p>
      <w:pPr>
        <w:pStyle w:val="ListParagraph"/>
        <w:spacing w:lineRule="auto" w:line="276"/>
        <w:jc w:val="both"/>
        <w:rPr>
          <w:rFonts w:eastAsia="" w:eastAsiaTheme="minorHAnsi"/>
          <w:lang w:eastAsia="en-US"/>
        </w:rPr>
      </w:pPr>
      <w:r>
        <w:rPr>
          <w:rFonts w:eastAsia="" w:eastAsiaTheme="minorHAnsi"/>
          <w:lang w:eastAsia="en-U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Pravo na povlaštenu kartu ima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fizička </w:t>
      </w:r>
      <w:r>
        <w:rPr>
          <w:rFonts w:ascii="Times New Roman" w:hAnsi="Times New Roman"/>
          <w:color w:val="000000"/>
          <w:sz w:val="24"/>
          <w:szCs w:val="24"/>
        </w:rPr>
        <w:t>osoba  koja: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  <w:tab/>
        <w:t xml:space="preserve">ima prebivalište na području </w:t>
      </w:r>
      <w:r>
        <w:rPr>
          <w:rFonts w:ascii="Times New Roman" w:hAnsi="Times New Roman"/>
          <w:sz w:val="24"/>
          <w:szCs w:val="24"/>
        </w:rPr>
        <w:t>Općine Trpanj, što dokazuje osobnom iskaznicom ili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uvjerenjem o prebivalištu izdanim od strane MUP-a, i nije obveznik poreza na kuću za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odmor</w:t>
      </w:r>
      <w:r>
        <w:rPr>
          <w:rFonts w:ascii="Times New Roman" w:hAnsi="Times New Roman"/>
          <w:color w:val="000000"/>
          <w:sz w:val="24"/>
          <w:szCs w:val="24"/>
        </w:rPr>
        <w:t xml:space="preserve">, što dokazuje potvrdom Općine Trpanj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  <w:tab/>
        <w:t>ima vozilo registrirano na svoje ime, što dokazuje valjanom prometnom dozvolom.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Organizator parkiranja će na zahtjev fizičke osobe koja dokaže da zadovoljava uvjete iz stavka 1, podstavak 1. ovog članka, izdati povlaštenu kartu.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Pravo na povlaštenu kartu ima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pravna osoba i obrtnik</w:t>
      </w:r>
      <w:r>
        <w:rPr>
          <w:rFonts w:ascii="Times New Roman" w:hAnsi="Times New Roman"/>
          <w:color w:val="000000"/>
          <w:sz w:val="24"/>
          <w:szCs w:val="24"/>
        </w:rPr>
        <w:t xml:space="preserve"> koja: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  <w:tab/>
        <w:t>ima sjedište na području Općine ili koristi poslovni prostor na  području Općine</w:t>
        <w:tab/>
        <w:t xml:space="preserve">, što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dokazuje upisom u odgovarajući registar ili ugovorom o zakupu</w:t>
      </w:r>
      <w:r>
        <w:rPr>
          <w:rFonts w:ascii="Times New Roman" w:hAnsi="Times New Roman"/>
          <w:sz w:val="24"/>
          <w:szCs w:val="24"/>
        </w:rPr>
        <w:t xml:space="preserve">, odnosno izvatkom iz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zemljišnih knjiga o vlasništvu poslovnog prostora;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  <w:tab/>
        <w:t xml:space="preserve">ima vozilo registrirano na ime obrta odnosno pravne osobe, što dokazuje valjanom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prometnom dozvolom.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Organizator parkiranja će na zahtjev pravne osobe odnosno obrtnika koja dokaže da zadovoljava uvjete iz stavka 2, podstavak 2. ovog članka, izdati povlaštenu kartu.</w:t>
      </w:r>
    </w:p>
    <w:p>
      <w:pPr>
        <w:pStyle w:val="ListParagraph"/>
        <w:spacing w:lineRule="auto" w:line="276"/>
        <w:ind w:left="720" w:right="0" w:hanging="0"/>
        <w:jc w:val="both"/>
        <w:rPr>
          <w:rFonts w:ascii="Times New Roman" w:hAnsi="Times New Roman" w:eastAsia="" w:eastAsiaTheme="minorHAnsi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sz w:val="24"/>
          <w:szCs w:val="24"/>
          <w:lang w:val="hr-HR" w:eastAsia="en-US" w:bidi="hi-IN"/>
        </w:rPr>
      </w:r>
    </w:p>
    <w:p>
      <w:pPr>
        <w:pStyle w:val="ListParagraph"/>
        <w:spacing w:lineRule="auto" w:line="276"/>
        <w:ind w:left="720" w:right="0" w:hanging="0"/>
        <w:jc w:val="both"/>
        <w:rPr>
          <w:rFonts w:ascii="Times New Roman" w:hAnsi="Times New Roman" w:eastAsia="" w:eastAsiaTheme="minorHAnsi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sz w:val="24"/>
          <w:szCs w:val="24"/>
          <w:lang w:val="hr-HR" w:eastAsia="en-US" w:bidi="hi-IN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Parkirna mjesta sa rezerviranim parkirališnim mjestom daju se u zakup za razdoblje navedeno u Odluci o organizaciji, načinu naplate i kontrole parkiranja na javnim parkiralištima u Općini Trpanj. 30-odnevni zakup počinje teči od prvog dana mjeseca za koji je Ugovor potpisan i teče do isteka zadnjeg dana istog tog mjeseca ( za 60 i 90 dana teče od prvog dana u mjesecu do isteka posljednjeg dana mjeseca u 2. - 60 dana ili 3. - 90 dana mjesecu zakupa)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" w:eastAsiaTheme="minorHAnsi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sz w:val="24"/>
          <w:szCs w:val="24"/>
          <w:lang w:val="hr-HR" w:eastAsia="en-US" w:bidi="hi-IN"/>
        </w:rPr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hr-HR" w:eastAsia="en-US" w:bidi="hi-IN"/>
        </w:rPr>
        <w:t xml:space="preserve">Svi korisnici javnog parkirališta s naplatom imaju pravo i na parkirališnu kartu bez rezerviranog točno određenog parkirališnog mjesta (bez rezervacije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hr-HR" w:eastAsia="en-US" w:bidi="hi-IN"/>
        </w:rPr>
        <w:t>parkirališnog mjesta – apartmanska karta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hr-HR" w:eastAsia="en-US" w:bidi="hi-IN"/>
        </w:rPr>
        <w:t>), u vremenskom periodu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hr-HR" w:eastAsia="en-US" w:bidi="hi-IN"/>
        </w:rPr>
        <w:t xml:space="preserve"> (7, 10, 30, 60, 90 dana)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hr-HR" w:eastAsia="en-US" w:bidi="hi-IN"/>
        </w:rPr>
        <w:t>bliže opisanom u članku 25. stavak 3. Odluke o organizaciju, načinu naplate i kontrole parkiranja na javnim parkiralištima u Općini Trpanj.</w:t>
      </w:r>
    </w:p>
    <w:p>
      <w:pPr>
        <w:pStyle w:val="Normal"/>
        <w:spacing w:lineRule="auto" w:line="276" w:before="0" w:after="0"/>
        <w:ind w:firstLine="708"/>
        <w:jc w:val="both"/>
        <w:rPr>
          <w:rFonts w:eastAsia="Calibri" w:cs="Times New Roman"/>
          <w:color w:val="00000A"/>
          <w:lang w:eastAsia="en-US"/>
        </w:rPr>
      </w:pPr>
      <w:r>
        <w:rPr>
          <w:rFonts w:eastAsia="Calibri" w:cs="Times New Roman"/>
          <w:color w:val="00000A"/>
          <w:lang w:eastAsia="en-US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hr-HR" w:eastAsia="en-US" w:bidi="hi-IN"/>
        </w:rPr>
        <w:t>Sve osobe koje podnose zahtjev/e mogu ostvariti svoje pravo pod uvjetom da</w:t>
      </w:r>
      <w:r>
        <w:rPr>
          <w:rFonts w:eastAsia="Calibri" w:ascii="Times New Roman" w:hAnsi="Times New Roman"/>
          <w:color w:val="00000A"/>
          <w:sz w:val="24"/>
          <w:szCs w:val="24"/>
          <w:lang w:val="hr-HR" w:eastAsia="en-US" w:bidi="hi-IN"/>
        </w:rPr>
        <w:t xml:space="preserve"> nemaju dugovanja prema Organizatoru parkiranja, Općini Trpanj i tvrtki Izvor Orah d.o.o., i da dos</w:t>
      </w:r>
      <w:r>
        <w:rPr>
          <w:rFonts w:eastAsia="Calibri" w:ascii="Times New Roman" w:hAnsi="Times New Roman"/>
          <w:color w:val="00000A"/>
          <w:sz w:val="24"/>
          <w:szCs w:val="24"/>
          <w:lang w:val="hr-HR" w:eastAsia="en-US" w:bidi="hi-IN"/>
        </w:rPr>
        <w:t>t</w:t>
      </w:r>
      <w:r>
        <w:rPr>
          <w:rFonts w:eastAsia="Calibri" w:ascii="Times New Roman" w:hAnsi="Times New Roman"/>
          <w:color w:val="00000A"/>
          <w:sz w:val="24"/>
          <w:szCs w:val="24"/>
          <w:lang w:val="hr-HR" w:eastAsia="en-US" w:bidi="hi-IN"/>
        </w:rPr>
        <w:t>ave ostalu traženu dokumentaciju prema zahtjevima, koji su prilog ovoj objavi.</w:t>
      </w:r>
    </w:p>
    <w:p>
      <w:pPr>
        <w:pStyle w:val="Normal"/>
        <w:spacing w:lineRule="auto" w:line="276" w:before="0" w:after="0"/>
        <w:ind w:firstLine="708"/>
        <w:jc w:val="both"/>
        <w:rPr>
          <w:rFonts w:eastAsia="Calibri"/>
          <w:color w:val="00000A"/>
          <w:lang w:eastAsia="en-US"/>
        </w:rPr>
      </w:pPr>
      <w:r>
        <w:rPr>
          <w:rFonts w:eastAsia="Calibri"/>
          <w:color w:val="00000A"/>
          <w:lang w:eastAsia="en-US"/>
        </w:rPr>
      </w:r>
    </w:p>
    <w:p>
      <w:pPr>
        <w:pStyle w:val="ListParagraph"/>
        <w:spacing w:lineRule="auto" w:line="276" w:before="0" w:after="0"/>
        <w:ind w:left="720" w:right="0" w:hanging="0"/>
        <w:contextualSpacing/>
        <w:jc w:val="both"/>
        <w:rPr>
          <w:rFonts w:ascii="Times New Roman" w:hAnsi="Times New Roman" w:eastAsia="" w:eastAsiaTheme="minorHAnsi"/>
          <w:b/>
          <w:b/>
          <w:bCs/>
          <w:color w:val="00000A"/>
          <w:sz w:val="24"/>
          <w:szCs w:val="24"/>
          <w:lang w:val="hr-HR" w:eastAsia="en-US" w:bidi="hi-IN"/>
        </w:rPr>
      </w:pPr>
      <w:r>
        <w:rPr>
          <w:rFonts w:eastAsia="" w:ascii="Times New Roman" w:hAnsi="Times New Roman" w:eastAsiaTheme="minorHAnsi"/>
          <w:b/>
          <w:bCs/>
          <w:color w:val="00000A"/>
          <w:sz w:val="24"/>
          <w:szCs w:val="24"/>
          <w:lang w:val="hr-HR" w:eastAsia="en-US" w:bidi="hi-IN"/>
        </w:rPr>
        <w:t>KORIŠTENJE POVLAŠTENE KARTE I PARKIRALIŠNE KARTE BEZ PRAVA REZERVACIJE PARKIRALIŠNOG MJESTA NIJE DOZVOLJENO U ULICI ŽALO I RIBARSKA OBALA U PERIODU OD 01. LIPNJA DO 30. RUJNA!</w:t>
      </w:r>
    </w:p>
    <w:p>
      <w:pPr>
        <w:pStyle w:val="ListParagraph"/>
        <w:spacing w:lineRule="auto" w:line="276" w:before="0" w:after="0"/>
        <w:ind w:left="720" w:right="0" w:hanging="0"/>
        <w:contextualSpacing/>
        <w:jc w:val="both"/>
        <w:rPr>
          <w:rFonts w:ascii="Times New Roman" w:hAnsi="Times New Roman" w:eastAsia="" w:eastAsiaTheme="minorHAnsi"/>
          <w:color w:val="00000A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color w:val="00000A"/>
          <w:sz w:val="24"/>
          <w:szCs w:val="24"/>
          <w:lang w:val="hr-HR" w:eastAsia="en-US" w:bidi="hi-IN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Pisani zahtjevi za izdavanje parkirališne karte ili zakup dostavljaju se poštom ili osobnim dolaskom na adresu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" w:eastAsiaTheme="minorHAnsi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sz w:val="24"/>
          <w:szCs w:val="24"/>
          <w:lang w:val="hr-HR" w:eastAsia="en-US" w:bidi="hi-IN"/>
        </w:rPr>
      </w:r>
    </w:p>
    <w:p>
      <w:pPr>
        <w:pStyle w:val="Normal"/>
        <w:spacing w:lineRule="auto" w:line="276"/>
        <w:ind w:left="708" w:firstLine="708"/>
        <w:jc w:val="both"/>
        <w:rPr>
          <w:rFonts w:ascii="Times New Roman" w:hAnsi="Times New Roman"/>
          <w:b/>
          <w:b/>
          <w:bCs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b/>
          <w:bCs/>
          <w:sz w:val="24"/>
          <w:szCs w:val="24"/>
          <w:lang w:val="hr-HR" w:eastAsia="en-US" w:bidi="hi-IN"/>
        </w:rPr>
        <w:t xml:space="preserve">          </w:t>
      </w:r>
      <w:r>
        <w:rPr>
          <w:rFonts w:eastAsia="" w:ascii="Times New Roman" w:hAnsi="Times New Roman" w:eastAsiaTheme="minorHAnsi"/>
          <w:b/>
          <w:bCs/>
          <w:sz w:val="24"/>
          <w:szCs w:val="24"/>
          <w:lang w:val="hr-HR" w:eastAsia="en-US" w:bidi="hi-IN"/>
        </w:rPr>
        <w:t>Komunalno Trpanj d.o.o., Put Dubokog doca 3, 20240 Trpanj</w:t>
      </w:r>
    </w:p>
    <w:p>
      <w:pPr>
        <w:pStyle w:val="Normal"/>
        <w:spacing w:lineRule="auto" w:line="276"/>
        <w:ind w:left="708" w:hanging="0"/>
        <w:jc w:val="center"/>
        <w:rPr>
          <w:rFonts w:ascii="Times New Roman" w:hAnsi="Times New Roman"/>
          <w:b/>
          <w:b/>
          <w:bCs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b/>
          <w:bCs/>
          <w:sz w:val="24"/>
          <w:szCs w:val="24"/>
          <w:lang w:val="hr-HR" w:eastAsia="en-US" w:bidi="hi-IN"/>
        </w:rPr>
        <w:t>s naznakom “Zahtjev  za izdavanjem parkirališne karte / zakup parkirališnog mjesta”</w:t>
      </w:r>
    </w:p>
    <w:p>
      <w:pPr>
        <w:pStyle w:val="Normal"/>
        <w:spacing w:lineRule="auto" w:line="276"/>
        <w:ind w:left="708" w:firstLine="708"/>
        <w:jc w:val="both"/>
        <w:rPr>
          <w:rFonts w:eastAsia="" w:eastAsiaTheme="minorHAnsi"/>
          <w:lang w:eastAsia="en-US"/>
        </w:rPr>
      </w:pPr>
      <w:r>
        <w:rPr>
          <w:rFonts w:eastAsia="" w:eastAsiaTheme="minorHAnsi"/>
          <w:lang w:eastAsia="en-US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Rok za dostavu zahtjeva je</w:t>
      </w:r>
      <w:r>
        <w:rPr>
          <w:rFonts w:eastAsia="" w:ascii="Times New Roman" w:hAnsi="Times New Roman" w:eastAsiaTheme="minorHAnsi"/>
          <w:b/>
          <w:sz w:val="24"/>
          <w:szCs w:val="24"/>
          <w:lang w:val="hr-HR" w:eastAsia="en-US" w:bidi="hi-IN"/>
        </w:rPr>
        <w:t xml:space="preserve"> stalno otvoren.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" w:eastAsiaTheme="minorHAnsi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sz w:val="24"/>
          <w:szCs w:val="24"/>
          <w:lang w:val="hr-HR" w:eastAsia="en-US" w:bidi="hi-IN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Zahtjevi se dostavljaju izravno u ured Organizatora parkiranja, svakim danom od 8,00 - 13,00 sati ili poštom na adresu: Komunalno Trpanj d.o.o., Put Dubokog doca 3, 20240 Trpanj. Vrijeme pečata na poštanskoj pošiljci je vrijeme predaje - zaprimanja ponude.</w:t>
      </w:r>
    </w:p>
    <w:p>
      <w:pPr>
        <w:pStyle w:val="Normal"/>
        <w:spacing w:lineRule="auto" w:line="276"/>
        <w:jc w:val="both"/>
        <w:rPr>
          <w:rFonts w:ascii="Times New Roman" w:hAnsi="Times New Roman" w:eastAsia="" w:eastAsiaTheme="minorHAnsi"/>
          <w:sz w:val="24"/>
          <w:szCs w:val="24"/>
          <w:lang w:val="hr-HR" w:eastAsia="en-US" w:bidi="hi-IN"/>
        </w:rPr>
      </w:pPr>
      <w:r>
        <w:rPr>
          <w:rFonts w:eastAsia="" w:eastAsiaTheme="minorHAnsi" w:ascii="Times New Roman" w:hAnsi="Times New Roman"/>
          <w:sz w:val="24"/>
          <w:szCs w:val="24"/>
          <w:lang w:val="hr-HR" w:eastAsia="en-US" w:bidi="hi-IN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U slučaju ispunjenja kvote zakupa parkirnih mjesta, rješenje će se dodijeljivati sukladno redoslijedu pristiglih i valjanih zahtjeva za zakupom parkirnog mjesta.</w:t>
      </w:r>
    </w:p>
    <w:p>
      <w:pPr>
        <w:pStyle w:val="Normal"/>
        <w:spacing w:lineRule="auto" w:line="276"/>
        <w:ind w:firstLine="708"/>
        <w:jc w:val="both"/>
        <w:rPr>
          <w:rFonts w:eastAsia="" w:eastAsiaTheme="minorHAnsi"/>
          <w:lang w:eastAsia="en-US"/>
        </w:rPr>
      </w:pPr>
      <w:r>
        <w:rPr>
          <w:rFonts w:eastAsia="" w:eastAsiaTheme="minorHAnsi"/>
          <w:lang w:eastAsia="en-US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eastAsia="" w:ascii="Times New Roman" w:hAnsi="Times New Roman" w:eastAsiaTheme="minorHAnsi"/>
          <w:sz w:val="24"/>
          <w:szCs w:val="24"/>
          <w:lang w:val="hr-HR" w:eastAsia="en-US" w:bidi="hi-IN"/>
        </w:rPr>
        <w:t>Nevaljane prijave neće biti uzete u obzir za razmatranje.</w:t>
      </w:r>
    </w:p>
    <w:p>
      <w:pPr>
        <w:pStyle w:val="Normal"/>
        <w:spacing w:lineRule="auto" w:line="276"/>
        <w:ind w:firstLine="708"/>
        <w:jc w:val="both"/>
        <w:rPr>
          <w:rFonts w:eastAsia="" w:eastAsiaTheme="minorHAnsi"/>
          <w:lang w:eastAsia="en-US"/>
        </w:rPr>
      </w:pPr>
      <w:r>
        <w:rPr>
          <w:rFonts w:eastAsia="" w:eastAsiaTheme="minorHAnsi"/>
          <w:lang w:eastAsia="en-US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ascii="Times New Roman" w:hAnsi="Times New Roman"/>
          <w:sz w:val="24"/>
          <w:szCs w:val="24"/>
          <w:lang w:val="hr-HR" w:bidi="hi-IN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hr-HR" w:bidi="hi-IN"/>
        </w:rPr>
      </w:pPr>
      <w:r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  <w:lang w:val="hr-HR" w:bidi="hi-IN"/>
        </w:rPr>
        <w:tab/>
        <w:tab/>
        <w:tab/>
        <w:tab/>
        <w:tab/>
        <w:tab/>
        <w:tab/>
        <w:tab/>
        <w:tab/>
        <w:t>Odgovorna osoba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  <w:lang w:val="hr-HR" w:bidi="hi-IN"/>
        </w:rPr>
        <w:tab/>
        <w:tab/>
        <w:tab/>
        <w:tab/>
        <w:tab/>
        <w:tab/>
        <w:tab/>
        <w:tab/>
        <w:tab/>
        <w:t>Renata Ivandić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20"/>
        <w:szCs w:val="20"/>
      </w:rPr>
    </w:pPr>
    <w:r>
      <w:rPr>
        <w:color w:val="999999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Footer"/>
      <w:jc w:val="center"/>
      <w:rPr>
        <w:sz w:val="20"/>
        <w:szCs w:val="20"/>
      </w:rPr>
    </w:pPr>
    <w:r>
      <w:rPr>
        <w:color w:val="999999"/>
        <w:sz w:val="20"/>
        <w:szCs w:val="20"/>
      </w:rPr>
      <w:t>OIB: 54389735230  |  IBAN: HR1824070001169001437  |  MBS: 060102780  |  Trgovački sud u Dubrovniku</w:t>
    </w:r>
  </w:p>
  <w:p>
    <w:pPr>
      <w:pStyle w:val="Footer"/>
      <w:jc w:val="center"/>
      <w:rPr>
        <w:sz w:val="20"/>
        <w:szCs w:val="20"/>
      </w:rPr>
    </w:pPr>
    <w:r>
      <w:rPr>
        <w:color w:val="999999"/>
        <w:sz w:val="20"/>
        <w:szCs w:val="20"/>
      </w:rPr>
      <w:t>Članica uprave: Renata Ivandić  |  Temeljni kapital: 18.000,00 kuna, uplaćen u cjelosti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right="0" w:hanging="0"/>
      <w:jc w:val="left"/>
      <w:rPr>
        <w:rFonts w:ascii="Times New Roman" w:hAnsi="Times New Roman"/>
        <w:b/>
        <w:b/>
        <w:bCs/>
        <w:color w:val="008000"/>
        <w:sz w:val="20"/>
        <w:szCs w:val="2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0"/>
        <w:szCs w:val="20"/>
      </w:rPr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</w:r>
  </w:p>
  <w:p>
    <w:pPr>
      <w:pStyle w:val="Header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right="0" w:hanging="0"/>
      <w:jc w:val="left"/>
      <w:rPr>
        <w:rFonts w:ascii="Times New Roman" w:hAnsi="Times New Roman"/>
        <w:b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eastAsia="SimSun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Heading9Char">
    <w:name w:val="Heading 9 Char"/>
    <w:basedOn w:val="DefaultParagraphFont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basedOn w:val="DefaultParagraphFont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basedOn w:val="DefaultParagraphFont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basedOn w:val="DefaultParagraphFont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basedOn w:val="DefaultParagraphFont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basedOn w:val="DefaultParagraphFont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basedOn w:val="DefaultParagraphFont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LibreOffice/5.3.4.2$Windows_X86_64 LibreOffice_project/f82d347ccc0be322489bf7da61d7e4ad13fe2ff3</Application>
  <Pages>2</Pages>
  <Words>736</Words>
  <Characters>4249</Characters>
  <CharactersWithSpaces>5117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creator/>
  <dc:description/>
  <dc:language>hr-HR</dc:language>
  <cp:lastModifiedBy/>
  <dcterms:modified xsi:type="dcterms:W3CDTF">2019-07-17T10:48:48Z</dcterms:modified>
  <cp:revision>15</cp:revision>
  <dc:subject/>
  <dc:title/>
</cp:coreProperties>
</file>