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0" w:rsidRDefault="007749A0" w:rsidP="007749A0">
      <w:pPr>
        <w:pStyle w:val="NormalWeb"/>
        <w:jc w:val="center"/>
      </w:pPr>
      <w:r>
        <w:rPr>
          <w:b/>
          <w:bCs/>
          <w:noProof/>
          <w:color w:val="463D8A"/>
        </w:rPr>
        <w:drawing>
          <wp:inline distT="0" distB="0" distL="0" distR="0">
            <wp:extent cx="5760720" cy="1065560"/>
            <wp:effectExtent l="19050" t="0" r="0" b="0"/>
            <wp:docPr id="6" name="Picture 6" descr="C:\Users\PROELN~1\AppData\Local\Temp\eufondovi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ELN~1\AppData\Local\Temp\eufondovi_logo_mal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463D8A"/>
        </w:rPr>
        <w:t>Nacionalni program pomoći sektoru vina 2019-2023 - "Vinska omotnica"</w:t>
      </w:r>
    </w:p>
    <w:p w:rsidR="007749A0" w:rsidRDefault="007749A0" w:rsidP="007749A0">
      <w:pPr>
        <w:pStyle w:val="NormalWeb"/>
        <w:jc w:val="center"/>
      </w:pPr>
      <w:r>
        <w:rPr>
          <w:rStyle w:val="Strong"/>
          <w:color w:val="463D8A"/>
        </w:rPr>
        <w:t>RESTRUKTURIRANJE I KONVERZIJA VINOGRADA</w:t>
      </w:r>
      <w:r>
        <w:rPr>
          <w:rStyle w:val="Strong"/>
        </w:rPr>
        <w:t xml:space="preserve"> </w:t>
      </w:r>
    </w:p>
    <w:p w:rsidR="007749A0" w:rsidRDefault="007749A0" w:rsidP="007749A0">
      <w:pPr>
        <w:pStyle w:val="NormalWeb"/>
        <w:ind w:left="335" w:right="335"/>
        <w:jc w:val="both"/>
      </w:pPr>
      <w:r>
        <w:rPr>
          <w:noProof/>
        </w:rPr>
        <w:drawing>
          <wp:inline distT="0" distB="0" distL="0" distR="0">
            <wp:extent cx="4093845" cy="2552065"/>
            <wp:effectExtent l="19050" t="0" r="1905" b="0"/>
            <wp:docPr id="1" name="Picture 1" descr="vin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ogr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Glavni cilj ove mjere je povećanje konkurentnosti proizvođača vina kroz modernizaciju vinogradarskih tehnika, promicanje visoko kvalitetnih vinograda i proizvodnje vina prema potrebama i preferencijama potrošača.</w:t>
      </w:r>
    </w:p>
    <w:p w:rsidR="007749A0" w:rsidRDefault="007749A0" w:rsidP="007749A0">
      <w:pPr>
        <w:pStyle w:val="NormalWeb"/>
        <w:ind w:left="335" w:right="335"/>
        <w:jc w:val="both"/>
      </w:pPr>
      <w:r>
        <w:rPr>
          <w:rStyle w:val="Strong"/>
          <w:color w:val="333399"/>
          <w:u w:val="single"/>
        </w:rPr>
        <w:t>Prihvatljivi korisnici</w:t>
      </w:r>
    </w:p>
    <w:p w:rsidR="007749A0" w:rsidRDefault="007749A0" w:rsidP="007749A0">
      <w:pPr>
        <w:pStyle w:val="NormalWeb"/>
        <w:ind w:left="335" w:right="335"/>
        <w:jc w:val="both"/>
      </w:pPr>
      <w:r>
        <w:t>Prihvatljivi korisnici su proizvođači (fizičke ili pravne osobe) upisani u Vinogradarski registar. Fizičke osobe moraju biti obveznici poreza na dohodak ili poreza na dobit. </w:t>
      </w:r>
    </w:p>
    <w:p w:rsidR="007749A0" w:rsidRDefault="007749A0" w:rsidP="007749A0">
      <w:pPr>
        <w:pStyle w:val="NormalWeb"/>
        <w:ind w:left="335" w:right="335"/>
        <w:jc w:val="both"/>
      </w:pPr>
      <w:r>
        <w:t>Vinogradarske površine na kojima se planira provedba mjere moraju biti prijavljene u Vinogradarskom registru pod ARKOD šiframa vrste uporabe poljoprivrednog zemljišta 410 (vinograd) i/ili 490 (mješoviti višegodišnji nasad), sukladno Pravilniku o evidenciji uporabe poljoprivrednog zemljišta. Nisu prihvatljive površine prijavljene za ulaganje sa šifrom vrste uporabe poljoprivrednog zemljišta drugačijom od spomenutih šifri 410 i 490. Nisu prihvatljive površine na kojima se prijavljuje nova sadnja ili premještanje vinograda bez prijavljenih postojećih površina vinograda predviđenih za krčenje.</w:t>
      </w:r>
    </w:p>
    <w:p w:rsidR="007749A0" w:rsidRDefault="007749A0" w:rsidP="007749A0">
      <w:pPr>
        <w:pStyle w:val="NormalWeb"/>
        <w:ind w:left="335" w:right="335"/>
        <w:jc w:val="both"/>
      </w:pPr>
      <w:r>
        <w:t>Površine na kojima se planira ulaganje moraju biti u posjedu Podnositelja. Ukoliko se posjed zasniva na posebnom ugovoru o zakupu, koncesiji, plodouživanju i sl. Korisnik je dužan osigurati raspolaganje površinama temeljem spomenutog ugovora u trajanju najmanje pet godina nakon dana isplate potpore.</w:t>
      </w:r>
    </w:p>
    <w:p w:rsidR="007749A0" w:rsidRDefault="007749A0" w:rsidP="007749A0">
      <w:pPr>
        <w:pStyle w:val="NormalWeb"/>
        <w:ind w:left="335" w:right="335"/>
        <w:jc w:val="both"/>
      </w:pPr>
      <w:r>
        <w:rPr>
          <w:rStyle w:val="Strong"/>
          <w:color w:val="333399"/>
          <w:u w:val="single"/>
        </w:rPr>
        <w:t>Razina i visina potpore</w:t>
      </w:r>
    </w:p>
    <w:p w:rsidR="007749A0" w:rsidRDefault="007749A0" w:rsidP="007749A0">
      <w:pPr>
        <w:pStyle w:val="NormalWeb"/>
        <w:ind w:left="335" w:right="335"/>
        <w:jc w:val="both"/>
      </w:pPr>
      <w:r>
        <w:lastRenderedPageBreak/>
        <w:t>Maksimalni iznos potpore po projektu iznosi 750.000 EUR. Razina potpore iznosi do 75% prihvatljivih troškova za iznose u naravi te do 75% prihvatljivih troškova za aktivnosti dokumentirane računima ili drugim dokumentima jednake dokazne snage. </w:t>
      </w:r>
    </w:p>
    <w:p w:rsidR="007749A0" w:rsidRDefault="007749A0" w:rsidP="007749A0">
      <w:pPr>
        <w:pStyle w:val="NormalWeb"/>
        <w:ind w:left="335" w:right="335"/>
        <w:jc w:val="both"/>
      </w:pPr>
      <w:r>
        <w:rPr>
          <w:rStyle w:val="Strong"/>
        </w:rPr>
        <w:t>NOVOST!</w:t>
      </w:r>
      <w:r>
        <w:t xml:space="preserve"> DOPRINOSI U NARAVI predstavljaju oblik rada za koji nije provedeno gotovinsko plaćanje potkrijepljeno računima ili dokumentima jednake dokazne snage. Primjer: vađenje trseva koje se sastoji od 20 sati rada stroja te 20 sati ljudskog rada, prijatelja i obitelji. </w:t>
      </w:r>
    </w:p>
    <w:p w:rsidR="007749A0" w:rsidRDefault="007749A0" w:rsidP="007749A0">
      <w:pPr>
        <w:pStyle w:val="NormalWeb"/>
        <w:ind w:left="335" w:right="335"/>
        <w:jc w:val="both"/>
      </w:pPr>
      <w:r>
        <w:t> Korisnici mogu ostvariti i naknadu za gubitak dohotka u obliku :</w:t>
      </w:r>
      <w:r>
        <w:br/>
      </w:r>
      <w:r>
        <w:br/>
        <w:t>      - financijske naknade, u visini 100% relevantnih gubitaka (vezana je na gubitak godišnjeg prihoda po hekaru koji je nastao izostankom uroda grožđa)</w:t>
      </w:r>
      <w:r>
        <w:br/>
        <w:t>ili </w:t>
      </w:r>
      <w:r>
        <w:br/>
        <w:t>      - prava na koegzistenciju, odnosno istovremeno postojanje starih i novih vinograda, na najdulje razdoblje koje nije dulje od tri godine od sadnje novog restrukturiranog vinograda.</w:t>
      </w:r>
    </w:p>
    <w:p w:rsidR="007749A0" w:rsidRDefault="007749A0" w:rsidP="007749A0">
      <w:pPr>
        <w:pStyle w:val="NormalWeb"/>
      </w:pPr>
      <w:r>
        <w:t>         </w:t>
      </w:r>
    </w:p>
    <w:p w:rsidR="007749A0" w:rsidRDefault="007749A0" w:rsidP="007749A0">
      <w:pPr>
        <w:pStyle w:val="NormalWeb"/>
        <w:ind w:left="335" w:right="335"/>
        <w:jc w:val="both"/>
      </w:pPr>
      <w:r>
        <w:rPr>
          <w:rStyle w:val="Strong"/>
          <w:color w:val="333399"/>
          <w:u w:val="single"/>
        </w:rPr>
        <w:t>Prihvatljive aktivnosti</w:t>
      </w:r>
    </w:p>
    <w:p w:rsidR="007749A0" w:rsidRDefault="007749A0" w:rsidP="007749A0">
      <w:pPr>
        <w:pStyle w:val="NormalWeb"/>
        <w:ind w:left="335" w:right="335"/>
        <w:jc w:val="both"/>
      </w:pPr>
      <w:r>
        <w:t>Restrukturiranje i konverzija vinograda podrazumijeva ulaganja u strukturne promjene postojećih površina zasađenih vinogradima, ulaganja vezana uz zamjenu sorte i premještanje vinograda te ulaganja u okviru poboljšanja vinogradarskih tehnika upravljanja vinogradom. Potpora se može odobriti za aktivnosti koje obuhvaćaju jednu ili više pojedinačnih aktivnosti u okviru:</w:t>
      </w:r>
    </w:p>
    <w:p w:rsidR="007749A0" w:rsidRDefault="007749A0" w:rsidP="007749A0">
      <w:pPr>
        <w:pStyle w:val="NormalWeb"/>
        <w:ind w:left="335" w:right="335"/>
        <w:jc w:val="both"/>
      </w:pPr>
      <w:r>
        <w:t>a) zamjene sorte/sorata (uključujući i cijepljenje);</w:t>
      </w:r>
    </w:p>
    <w:p w:rsidR="007749A0" w:rsidRDefault="007749A0" w:rsidP="007749A0">
      <w:pPr>
        <w:pStyle w:val="NormalWeb"/>
        <w:ind w:left="335" w:right="335"/>
        <w:jc w:val="both"/>
      </w:pPr>
      <w:r>
        <w:t>b) premještanja vinograda;</w:t>
      </w:r>
    </w:p>
    <w:p w:rsidR="007749A0" w:rsidRDefault="007749A0" w:rsidP="007749A0">
      <w:pPr>
        <w:pStyle w:val="NormalWeb"/>
        <w:ind w:left="335" w:right="335"/>
        <w:jc w:val="both"/>
      </w:pPr>
      <w:r>
        <w:t>c) poboljšavanja vinogradarskih tehnika</w:t>
      </w:r>
    </w:p>
    <w:p w:rsidR="007749A0" w:rsidRDefault="007749A0" w:rsidP="007749A0">
      <w:pPr>
        <w:pStyle w:val="NormalWeb"/>
        <w:ind w:left="335" w:right="335"/>
        <w:jc w:val="both"/>
      </w:pPr>
      <w:r>
        <w:t>Gornje aktivnosti mogu se provoditi samostalno ili u kombinacijama navedenih, a projektne aktivnosti se trebaju obavljati i odvijati kronološkim logičkim redoslijedom te moraju dovesti do krajnjeg cilja projekta odnosno do strukturne promjene u vinogradu. Rok završetka projekta u pravilu je godinu dana, a iz opravdanih se razloga može odobriti produljenje roka po jednu godinu, no krajnji rok završetka projekta ne može sveukupno biti odobravan u vremenskom trajanju dužem od pet godina od datuma zaprimanja Odluke o Odobrenju projekta.</w:t>
      </w:r>
    </w:p>
    <w:p w:rsidR="007749A0" w:rsidRDefault="007749A0" w:rsidP="007749A0">
      <w:pPr>
        <w:pStyle w:val="NormalWeb"/>
        <w:ind w:left="335" w:right="335"/>
        <w:jc w:val="both"/>
      </w:pPr>
      <w:r>
        <w:rPr>
          <w:rStyle w:val="Strong"/>
          <w:color w:val="C4040F"/>
        </w:rPr>
        <w:t>Natječaj je otvoren do 28.lipnja 2019.</w:t>
      </w:r>
    </w:p>
    <w:p w:rsidR="007749A0" w:rsidRDefault="007749A0" w:rsidP="007749A0">
      <w:pPr>
        <w:pStyle w:val="NormalWeb"/>
        <w:spacing w:before="335" w:beforeAutospacing="0" w:after="335" w:afterAutospacing="0"/>
        <w:ind w:left="335" w:right="335"/>
      </w:pPr>
      <w:r>
        <w:rPr>
          <w:rStyle w:val="Strong"/>
          <w:color w:val="333399"/>
        </w:rPr>
        <w:t> </w:t>
      </w:r>
    </w:p>
    <w:p w:rsidR="007749A0" w:rsidRDefault="007749A0" w:rsidP="007749A0">
      <w:pPr>
        <w:pStyle w:val="NormalWeb"/>
      </w:pPr>
      <w:r>
        <w:t> 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49A0"/>
    <w:rsid w:val="000D4A4D"/>
    <w:rsid w:val="001129D4"/>
    <w:rsid w:val="00325C9F"/>
    <w:rsid w:val="007749A0"/>
    <w:rsid w:val="00824ACF"/>
    <w:rsid w:val="00BB4972"/>
    <w:rsid w:val="00B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9A0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7749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2019-05-24T06:30:00Z</dcterms:created>
  <dcterms:modified xsi:type="dcterms:W3CDTF">2019-05-24T06:32:00Z</dcterms:modified>
</cp:coreProperties>
</file>