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/>
        <w:t>KOMUNALNO TRPANJ d.o.o.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/>
        <w:t>Put Dubokog Doca 3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/>
        <w:t>20240 Trpanj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/>
        <w:t>OIB: 54389735230</w:t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b/>
          <w:i/>
          <w:sz w:val="22"/>
        </w:rPr>
        <w:t xml:space="preserve">Trpanj, </w:t>
      </w:r>
      <w:r>
        <w:rPr>
          <w:b/>
          <w:i/>
          <w:sz w:val="22"/>
        </w:rPr>
        <w:t>23</w:t>
      </w:r>
      <w:r>
        <w:rPr>
          <w:b/>
          <w:i/>
          <w:sz w:val="22"/>
        </w:rPr>
        <w:t>. svibnja 2018. godine</w:t>
      </w:r>
    </w:p>
    <w:p>
      <w:pPr>
        <w:pStyle w:val="Normal"/>
        <w:spacing w:lineRule="auto" w:line="360"/>
        <w:jc w:val="both"/>
        <w:rPr>
          <w:b/>
          <w:b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sz w:val="22"/>
        </w:rPr>
        <w:t>CJENIK I NAČIN PLAĆANJA  USLUGE GOSPODARENJA OTPADOM ZA KATEGORIJU KUĆANSTAVA, GOSPODARSKIH, OBRAZOVNIH, ZDRAVSTVENIH I UGOSTITELJSKIH TE OSTALIH OBJEKATA PREMA NJIHOVOJ NAMJEN</w:t>
      </w:r>
      <w:r>
        <w:rPr>
          <w:b/>
          <w:sz w:val="22"/>
        </w:rPr>
        <w:t>I</w:t>
      </w:r>
    </w:p>
    <w:p>
      <w:pPr>
        <w:pStyle w:val="Normal"/>
        <w:spacing w:lineRule="auto" w:line="360"/>
        <w:jc w:val="both"/>
        <w:rPr>
          <w:b/>
          <w:b/>
          <w:szCs w:val="22"/>
          <w:highlight w:val="white"/>
        </w:rPr>
      </w:pPr>
      <w:r>
        <w:rPr>
          <w:b/>
          <w:szCs w:val="22"/>
          <w:highlight w:val="whit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szCs w:val="22"/>
          <w:highlight w:val="white"/>
        </w:rPr>
        <w:t>I. OPĆE ODREDBE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szCs w:val="22"/>
          <w:highlight w:val="white"/>
        </w:rPr>
        <w:t>Članak 1.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szCs w:val="22"/>
          <w:highlight w:val="white"/>
        </w:rPr>
        <w:t>Ovom Odlukom utvrđuje se cjenik i načini plaćanja komunalne usluge gospodarenja otpadom za potrošače u kućanstvu, gospodarskim, obrazovnim, zdravstvenim, ugostiteljskim i drrugim objektima, prema njihovoj namjeni.</w:t>
      </w:r>
    </w:p>
    <w:p>
      <w:pPr>
        <w:pStyle w:val="Normal"/>
        <w:spacing w:lineRule="auto" w:line="360"/>
        <w:jc w:val="both"/>
        <w:rPr>
          <w:rFonts w:ascii="Times New Roman" w:hAnsi="Times New Roman"/>
          <w:szCs w:val="22"/>
          <w:highlight w:val="white"/>
        </w:rPr>
      </w:pPr>
      <w:r>
        <w:rPr>
          <w:szCs w:val="22"/>
          <w:highlight w:val="white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szCs w:val="22"/>
          <w:highlight w:val="white"/>
        </w:rPr>
        <w:t>Članak 2.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szCs w:val="22"/>
          <w:highlight w:val="white"/>
        </w:rPr>
        <w:t>Obračun komunalne usluge plaća se isporučitelju komunalne usluge na način i prema cijenama utvrđenim ovim Cjenikom.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szCs w:val="22"/>
          <w:highlight w:val="white"/>
        </w:rPr>
        <w:t>Obveznici plaćanja cijene komunalne usluge su vlasnici nekretnine ili korisnik iste, kada je vlasnik to pravo prenio na korisnika ugovorom.</w:t>
      </w:r>
    </w:p>
    <w:p>
      <w:pPr>
        <w:pStyle w:val="Normal"/>
        <w:spacing w:lineRule="auto" w:line="360"/>
        <w:jc w:val="both"/>
        <w:rPr>
          <w:szCs w:val="22"/>
          <w:highlight w:val="white"/>
        </w:rPr>
      </w:pPr>
      <w:r>
        <w:rPr>
          <w:szCs w:val="22"/>
          <w:highlight w:val="white"/>
        </w:rPr>
      </w:r>
    </w:p>
    <w:p>
      <w:pPr>
        <w:pStyle w:val="TextBody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val="en-US"/>
        </w:rPr>
        <w:t>Članak 3.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Potrošač može račun za komunalnu uslugu platiti na način utvrđen važećim zakonskim propisima.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4.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Rok za podmirenje računa za komunalnu uslugu otisnut je na svakom ispostavljenom računu.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Ukoliko potrošač ne plati račun u roku iz stavka 1. ovog članka, isporučitelj će zaračunati zatezne kamate u skladu s važećim zakonskim propisima. 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Ukoliko potrošač ne plati dva (2) uzastopna računa u obračunskom razdoblju, isporučitelj zadržava pravo ukidanja usluge, te nastavak pružanja minimalne usluge predviđene Uredbom o gospodarenju otpadom (NN 50/17).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5.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Potrošač je dužan pismeno izvijestiti isporučitelja usluge o svakoj promjeni vlasništva nekretnine, adrese kao i svakoj drugoj bitnoj promjeni odmah, a najkasnije u roku od 15 dana od nastanka promjene. 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Promjena obvezuje isporučitelja od dana primitka iste.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6.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Potrošač ima pravo prigovora (reklamacije) na obračun komunalne usluge u pismenom obliku u roku od 15 dana od izdavanja računa.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Isporučitelj komunalne usluge dužan je odgovoriti na prigovor u roku od 15 dana od dostave prigovora.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Ako je isporučitelj komunalne usluge uvažio prigovor, dužan je izvršiti usklađivanje obračuna u poslovnim knjigama najkasnije do ispostavljanja narednog računa s novim obračunom.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II. OBRAČUN KOMUNALNE USLUGE GOSPODARENJA OTPADOM</w:t>
      </w:r>
    </w:p>
    <w:p>
      <w:pPr>
        <w:pStyle w:val="TextBody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7.</w:t>
      </w:r>
    </w:p>
    <w:p>
      <w:pPr>
        <w:pStyle w:val="Normal"/>
        <w:rPr>
          <w:rFonts w:ascii="Times New Roman" w:hAnsi="Times New Roman"/>
        </w:rPr>
      </w:pPr>
      <w:r>
        <w:rPr>
          <w:b w:val="false"/>
          <w:i w:val="false"/>
          <w:color w:val="000000"/>
          <w:sz w:val="24"/>
        </w:rPr>
        <w:t>Strukturu cijene javne usluge prikupljanja miješanog komunalnog otpada i biorazgradivog</w:t>
      </w:r>
    </w:p>
    <w:p>
      <w:pPr>
        <w:pStyle w:val="Normal"/>
        <w:rPr/>
      </w:pPr>
      <w:r>
        <w:rPr>
          <w:b w:val="false"/>
          <w:i w:val="false"/>
          <w:color w:val="000000"/>
          <w:sz w:val="24"/>
        </w:rPr>
        <w:t>komunalnog otpada čini:</w:t>
      </w:r>
    </w:p>
    <w:p>
      <w:pPr>
        <w:pStyle w:val="Normal"/>
        <w:rPr/>
      </w:pPr>
      <w:r>
        <w:rPr>
          <w:b w:val="false"/>
          <w:i w:val="false"/>
          <w:color w:val="000000"/>
          <w:sz w:val="24"/>
        </w:rPr>
        <w:tab/>
        <w:t>1. cijena javne usluge za količinu predanog miješanog komunalnog otpada (varijabilni dio cijene) pri čemu je kriterij količine otpada u obračunskom razdoblju volumen spremnika otpada i broj pražnjenja prema izrazu: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 w:val="false"/>
          <w:i w:val="false"/>
          <w:color w:val="000000"/>
          <w:sz w:val="24"/>
        </w:rPr>
        <w:t>C = JCV * BP * U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b w:val="false"/>
          <w:i w:val="false"/>
          <w:color w:val="000000"/>
          <w:sz w:val="24"/>
        </w:rPr>
        <w:t>gdje je:</w:t>
      </w:r>
    </w:p>
    <w:p>
      <w:pPr>
        <w:pStyle w:val="Normal"/>
        <w:rPr>
          <w:rFonts w:ascii="Times New Roman" w:hAnsi="Times New Roman"/>
        </w:rPr>
      </w:pPr>
      <w:r>
        <w:rPr>
          <w:b w:val="false"/>
          <w:i/>
          <w:iCs/>
          <w:color w:val="000000"/>
          <w:sz w:val="24"/>
        </w:rPr>
        <w:t>C</w:t>
      </w:r>
      <w:r>
        <w:rPr>
          <w:b w:val="false"/>
          <w:i w:val="false"/>
          <w:color w:val="000000"/>
          <w:sz w:val="24"/>
        </w:rPr>
        <w:t xml:space="preserve"> - cijena javne usluge za količinu predanog miješanog komunalnog otpada izražena u</w:t>
      </w:r>
    </w:p>
    <w:p>
      <w:pPr>
        <w:pStyle w:val="Normal"/>
        <w:rPr>
          <w:rFonts w:ascii="Times New Roman" w:hAnsi="Times New Roman"/>
        </w:rPr>
      </w:pPr>
      <w:r>
        <w:rPr>
          <w:b w:val="false"/>
          <w:i w:val="false"/>
          <w:color w:val="000000"/>
          <w:sz w:val="24"/>
        </w:rPr>
        <w:t>kunama</w:t>
      </w:r>
    </w:p>
    <w:p>
      <w:pPr>
        <w:pStyle w:val="Normal"/>
        <w:rPr>
          <w:rFonts w:ascii="Times New Roman" w:hAnsi="Times New Roman"/>
        </w:rPr>
      </w:pPr>
      <w:r>
        <w:rPr>
          <w:b w:val="false"/>
          <w:i/>
          <w:iCs/>
          <w:color w:val="000000"/>
          <w:sz w:val="24"/>
        </w:rPr>
        <w:t>JCV</w:t>
      </w:r>
      <w:r>
        <w:rPr>
          <w:b w:val="false"/>
          <w:i w:val="false"/>
          <w:color w:val="000000"/>
          <w:sz w:val="24"/>
        </w:rPr>
        <w:t xml:space="preserve"> - jedinična cijena za pražnjenje volumena spremnika miješanog komunalnog otpada</w:t>
      </w:r>
    </w:p>
    <w:p>
      <w:pPr>
        <w:pStyle w:val="Normal"/>
        <w:rPr>
          <w:rFonts w:ascii="Times New Roman" w:hAnsi="Times New Roman"/>
        </w:rPr>
      </w:pPr>
      <w:r>
        <w:rPr>
          <w:b w:val="false"/>
          <w:i w:val="false"/>
          <w:color w:val="000000"/>
          <w:sz w:val="24"/>
        </w:rPr>
        <w:t>izražena u kunama sukladno cjeniku</w:t>
      </w:r>
    </w:p>
    <w:p>
      <w:pPr>
        <w:pStyle w:val="Normal"/>
        <w:rPr>
          <w:rFonts w:ascii="Times New Roman" w:hAnsi="Times New Roman"/>
        </w:rPr>
      </w:pPr>
      <w:r>
        <w:rPr>
          <w:b w:val="false"/>
          <w:i/>
          <w:iCs/>
          <w:color w:val="000000"/>
          <w:sz w:val="24"/>
        </w:rPr>
        <w:t>BP</w:t>
      </w:r>
      <w:r>
        <w:rPr>
          <w:b w:val="false"/>
          <w:i w:val="false"/>
          <w:color w:val="000000"/>
          <w:sz w:val="24"/>
        </w:rPr>
        <w:t xml:space="preserve"> - broj pražnjenja spremnika miješanog komunalnog otpada u obračunskom razdoblju</w:t>
      </w:r>
    </w:p>
    <w:p>
      <w:pPr>
        <w:pStyle w:val="Normal"/>
        <w:rPr>
          <w:rFonts w:ascii="Times New Roman" w:hAnsi="Times New Roman"/>
        </w:rPr>
      </w:pPr>
      <w:r>
        <w:rPr>
          <w:b w:val="false"/>
          <w:i/>
          <w:iCs/>
          <w:color w:val="000000"/>
          <w:sz w:val="24"/>
        </w:rPr>
        <w:t>U</w:t>
      </w:r>
      <w:r>
        <w:rPr>
          <w:b w:val="false"/>
          <w:i w:val="false"/>
          <w:color w:val="000000"/>
          <w:sz w:val="24"/>
        </w:rPr>
        <w:t xml:space="preserve"> - udio korisnika usluge u korištenju spremnika</w:t>
      </w:r>
    </w:p>
    <w:p>
      <w:pPr>
        <w:pStyle w:val="Normal"/>
        <w:rPr>
          <w:rFonts w:ascii="Times New Roman" w:hAnsi="Times New Roman"/>
        </w:rPr>
      </w:pPr>
      <w:r>
        <w:rPr>
          <w:b w:val="false"/>
          <w:i w:val="false"/>
          <w:color w:val="000000"/>
          <w:sz w:val="24"/>
        </w:rPr>
        <w:tab/>
        <w:t>2. cijena obvezne minimalne javne usluge (fiksni dio cijene)</w:t>
      </w:r>
    </w:p>
    <w:tbl>
      <w:tblPr>
        <w:tblW w:w="9360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952"/>
        <w:gridCol w:w="1980"/>
        <w:gridCol w:w="1308"/>
        <w:gridCol w:w="3119"/>
      </w:tblGrid>
      <w:tr>
        <w:trPr/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fiksni dio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>HRK fiksni dio ukupno</w:t>
            </w:r>
          </w:p>
        </w:tc>
      </w:tr>
      <w:tr>
        <w:trPr/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120 l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113,00</w:t>
            </w:r>
          </w:p>
        </w:tc>
      </w:tr>
      <w:tr>
        <w:trPr/>
        <w:tc>
          <w:tcPr>
            <w:tcW w:w="2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olor w:val="000000"/>
                <w:sz w:val="24"/>
                <w:szCs w:val="24"/>
              </w:rPr>
              <w:tab/>
              <w:t>1100 l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olor w:val="000000"/>
                <w:sz w:val="24"/>
                <w:szCs w:val="24"/>
              </w:rPr>
              <w:t>1.017,00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rFonts w:ascii="Times New Roman" w:hAnsi="Times New Roman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ab/>
        <w:t>3. cijena ugovorne kazne – regulirana Odlukom općinskog vijeća Općine Trpanj.</w:t>
      </w:r>
    </w:p>
    <w:p>
      <w:pPr>
        <w:pStyle w:val="Normal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b/>
          <w:bCs/>
          <w:i w:val="false"/>
          <w:color w:val="000000"/>
          <w:sz w:val="24"/>
        </w:rPr>
        <w:t>1. Cijena javne usluge za količinu predanog miješanog komunalnog otpada za kućanstva iznosi:</w:t>
      </w:r>
    </w:p>
    <w:tbl>
      <w:tblPr>
        <w:tblW w:w="9384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772"/>
        <w:gridCol w:w="1476"/>
        <w:gridCol w:w="1594"/>
        <w:gridCol w:w="1128"/>
        <w:gridCol w:w="2414"/>
      </w:tblGrid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/ litra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HRK/ 120 l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HRK / pražnjenje </w:t>
            </w:r>
          </w:p>
        </w:tc>
      </w:tr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120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6,78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b/>
          <w:bCs/>
          <w:i w:val="false"/>
          <w:color w:val="000000"/>
          <w:sz w:val="24"/>
        </w:rPr>
        <w:t>2. Cijena javne usluge za količinu predanog miješanog komunalnog otpada za hotelske objekte iznosi:</w:t>
      </w:r>
    </w:p>
    <w:tbl>
      <w:tblPr>
        <w:tblW w:w="9384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772"/>
        <w:gridCol w:w="1476"/>
        <w:gridCol w:w="1594"/>
        <w:gridCol w:w="1128"/>
        <w:gridCol w:w="2414"/>
      </w:tblGrid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/ litra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HRK/ 120 l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HRK / pražnjenje </w:t>
            </w:r>
          </w:p>
        </w:tc>
      </w:tr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120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156,00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20,28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176,28</w:t>
            </w:r>
          </w:p>
        </w:tc>
      </w:tr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1100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1.430,00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185,90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1.615,90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rPr/>
      </w:pPr>
      <w:r>
        <w:rPr>
          <w:b/>
          <w:bCs/>
          <w:i w:val="false"/>
          <w:color w:val="000000"/>
          <w:sz w:val="24"/>
        </w:rPr>
        <w:t>3. Cijena javne usluge za količinu predanog miješanog komunalnog otpada za ugostiteljstvo iznosi:</w:t>
      </w:r>
    </w:p>
    <w:p>
      <w:pPr>
        <w:pStyle w:val="Normal"/>
        <w:rPr>
          <w:b w:val="false"/>
          <w:b w:val="false"/>
          <w:bCs w:val="false"/>
          <w:i/>
          <w:i/>
          <w:iCs/>
          <w:color w:val="800000"/>
          <w:u w:val="single"/>
        </w:rPr>
      </w:pPr>
      <w:r>
        <w:rPr>
          <w:b w:val="false"/>
          <w:bCs w:val="false"/>
          <w:i/>
          <w:iCs/>
          <w:color w:val="800000"/>
          <w:sz w:val="24"/>
          <w:u w:val="single"/>
        </w:rPr>
        <w:t>cjelogodišnje poslovanje</w:t>
      </w:r>
    </w:p>
    <w:tbl>
      <w:tblPr>
        <w:tblW w:w="9384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772"/>
        <w:gridCol w:w="1476"/>
        <w:gridCol w:w="1594"/>
        <w:gridCol w:w="1128"/>
        <w:gridCol w:w="2414"/>
      </w:tblGrid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/ litra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HRK/ 120 l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HRK / pražnjenje </w:t>
            </w:r>
          </w:p>
        </w:tc>
      </w:tr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120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4,68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40,68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color w:val="800000"/>
          <w:u w:val="single"/>
        </w:rPr>
      </w:pPr>
      <w:r>
        <w:rPr>
          <w:b w:val="false"/>
          <w:bCs w:val="false"/>
          <w:i/>
          <w:iCs/>
          <w:color w:val="800000"/>
          <w:sz w:val="24"/>
          <w:u w:val="single"/>
        </w:rPr>
        <w:t>sezonsko poslovanje</w:t>
      </w:r>
    </w:p>
    <w:tbl>
      <w:tblPr>
        <w:tblW w:w="9384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772"/>
        <w:gridCol w:w="1476"/>
        <w:gridCol w:w="1594"/>
        <w:gridCol w:w="1128"/>
        <w:gridCol w:w="2414"/>
      </w:tblGrid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/ litra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HRK/ 120 l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HRK / pražnjenje </w:t>
            </w:r>
          </w:p>
        </w:tc>
      </w:tr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i w:val="false"/>
                <w:color w:val="000000"/>
                <w:sz w:val="22"/>
              </w:rPr>
              <w:t>120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i w:val="false"/>
                <w:color w:val="000000"/>
                <w:sz w:val="22"/>
              </w:rPr>
              <w:t>0,35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42,00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i w:val="false"/>
                <w:color w:val="000000"/>
                <w:sz w:val="22"/>
              </w:rPr>
              <w:t>5,46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 w:val="false"/>
                <w:i w:val="false"/>
                <w:color w:val="000000"/>
                <w:sz w:val="22"/>
              </w:rPr>
              <w:t>47,46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i w:val="false"/>
          <w:i w:val="false"/>
          <w:color w:val="000000"/>
          <w:sz w:val="24"/>
        </w:rPr>
      </w:pPr>
      <w:r>
        <w:rPr>
          <w:b/>
          <w:bCs/>
          <w:i w:val="false"/>
          <w:color w:val="000000"/>
          <w:sz w:val="24"/>
        </w:rPr>
      </w:r>
    </w:p>
    <w:p>
      <w:pPr>
        <w:pStyle w:val="Normal"/>
        <w:rPr/>
      </w:pPr>
      <w:r>
        <w:rPr>
          <w:b/>
          <w:bCs/>
          <w:i w:val="false"/>
          <w:color w:val="000000"/>
          <w:sz w:val="24"/>
        </w:rPr>
        <w:t>4. Cijena javne usluge za količinu predanog miješanog komunalnog otpada za trgovine i ostale objekte maloprodaje iznosi:</w:t>
      </w:r>
    </w:p>
    <w:p>
      <w:pPr>
        <w:pStyle w:val="Normal"/>
        <w:rPr>
          <w:b w:val="false"/>
          <w:b w:val="false"/>
          <w:bCs w:val="false"/>
          <w:i/>
          <w:i/>
          <w:iCs/>
          <w:color w:val="800000"/>
          <w:u w:val="single"/>
        </w:rPr>
      </w:pPr>
      <w:r>
        <w:rPr>
          <w:b w:val="false"/>
          <w:bCs w:val="false"/>
          <w:i/>
          <w:iCs/>
          <w:color w:val="800000"/>
          <w:sz w:val="24"/>
          <w:u w:val="single"/>
        </w:rPr>
        <w:t>cjelogodišnje poslovanje</w:t>
      </w:r>
    </w:p>
    <w:tbl>
      <w:tblPr>
        <w:tblW w:w="9384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772"/>
        <w:gridCol w:w="1476"/>
        <w:gridCol w:w="1594"/>
        <w:gridCol w:w="1128"/>
        <w:gridCol w:w="2414"/>
      </w:tblGrid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/ litra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HRK/ 120 l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HRK / pražnjenje </w:t>
            </w:r>
          </w:p>
        </w:tc>
      </w:tr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120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0,15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18,00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2,34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20,34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color w:val="800000"/>
          <w:u w:val="single"/>
        </w:rPr>
      </w:pPr>
      <w:r>
        <w:rPr>
          <w:b w:val="false"/>
          <w:bCs w:val="false"/>
          <w:i/>
          <w:iCs/>
          <w:color w:val="800000"/>
          <w:sz w:val="24"/>
          <w:u w:val="single"/>
        </w:rPr>
        <w:t xml:space="preserve"> </w:t>
      </w:r>
      <w:r>
        <w:rPr>
          <w:b w:val="false"/>
          <w:bCs w:val="false"/>
          <w:i/>
          <w:iCs/>
          <w:color w:val="800000"/>
          <w:sz w:val="24"/>
          <w:u w:val="single"/>
        </w:rPr>
        <w:t>sezonsko poslovanje</w:t>
      </w:r>
    </w:p>
    <w:tbl>
      <w:tblPr>
        <w:tblW w:w="9384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772"/>
        <w:gridCol w:w="1476"/>
        <w:gridCol w:w="1594"/>
        <w:gridCol w:w="1128"/>
        <w:gridCol w:w="2414"/>
      </w:tblGrid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/ litra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HRK/ 120 l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HRK / pražnjenje </w:t>
            </w:r>
          </w:p>
        </w:tc>
      </w:tr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i w:val="false"/>
                <w:color w:val="000000"/>
                <w:sz w:val="22"/>
              </w:rPr>
              <w:t>120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i w:val="false"/>
                <w:color w:val="000000"/>
                <w:sz w:val="22"/>
              </w:rPr>
              <w:t>0,20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24,00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i w:val="false"/>
                <w:color w:val="000000"/>
                <w:sz w:val="22"/>
              </w:rPr>
              <w:t>3,12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 w:val="false"/>
                <w:i w:val="false"/>
                <w:color w:val="000000"/>
                <w:sz w:val="22"/>
              </w:rPr>
              <w:t>27,12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i w:val="false"/>
          <w:i w:val="false"/>
          <w:color w:val="000000"/>
          <w:sz w:val="24"/>
        </w:rPr>
      </w:pPr>
      <w:r>
        <w:rPr>
          <w:b/>
          <w:bCs/>
          <w:i w:val="false"/>
          <w:color w:val="000000"/>
          <w:sz w:val="24"/>
        </w:rPr>
      </w:r>
    </w:p>
    <w:p>
      <w:pPr>
        <w:pStyle w:val="Normal"/>
        <w:rPr>
          <w:b/>
          <w:b/>
          <w:bCs/>
          <w:i w:val="false"/>
          <w:i w:val="false"/>
          <w:color w:val="000000"/>
          <w:sz w:val="24"/>
        </w:rPr>
      </w:pPr>
      <w:r>
        <w:rPr/>
      </w:r>
    </w:p>
    <w:p>
      <w:pPr>
        <w:pStyle w:val="Normal"/>
        <w:rPr>
          <w:b/>
          <w:b/>
          <w:bCs/>
          <w:i w:val="false"/>
          <w:i w:val="false"/>
          <w:color w:val="000000"/>
          <w:sz w:val="24"/>
        </w:rPr>
      </w:pPr>
      <w:r>
        <w:rPr/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b/>
          <w:bCs/>
          <w:i w:val="false"/>
          <w:color w:val="000000"/>
          <w:sz w:val="24"/>
        </w:rPr>
        <w:t>5. Cijena javne usluge za količinu predanog miješanog komunalnog otpada za kampove i apartmane iznosi:</w:t>
      </w:r>
    </w:p>
    <w:tbl>
      <w:tblPr>
        <w:tblW w:w="9384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772"/>
        <w:gridCol w:w="1476"/>
        <w:gridCol w:w="1594"/>
        <w:gridCol w:w="1128"/>
        <w:gridCol w:w="2414"/>
      </w:tblGrid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/ litra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HRK/ 120 l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HRK / pražnjenje </w:t>
            </w:r>
          </w:p>
        </w:tc>
      </w:tr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120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0,15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18,00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2,34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20,34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b/>
          <w:bCs/>
          <w:i w:val="false"/>
          <w:color w:val="000000"/>
          <w:sz w:val="24"/>
        </w:rPr>
        <w:t>6. Cijena javne usluge za količinu predanog miješanog komunalnog otpada za udruge, poslovne objekte i ustanove obrazovnog, općeg, zdravstvenog i drugog karaktera iznosi:</w:t>
      </w:r>
    </w:p>
    <w:tbl>
      <w:tblPr>
        <w:tblW w:w="9384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772"/>
        <w:gridCol w:w="1476"/>
        <w:gridCol w:w="1594"/>
        <w:gridCol w:w="1128"/>
        <w:gridCol w:w="2414"/>
      </w:tblGrid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/ litra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HRK/ 120 l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HRK / pražnjenje </w:t>
            </w:r>
          </w:p>
        </w:tc>
      </w:tr>
      <w:tr>
        <w:trPr/>
        <w:tc>
          <w:tcPr>
            <w:tcW w:w="2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120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0,05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6,00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0,78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</w:rPr>
              <w:t>6,78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rPr/>
      </w:pPr>
      <w:r>
        <w:rPr>
          <w:b/>
          <w:bCs/>
          <w:i w:val="false"/>
          <w:color w:val="000000"/>
          <w:sz w:val="24"/>
        </w:rPr>
        <w:t>7. Cijena javne usluge za količinu predanog miješanog komunalnog otpada za marine, trajekt, lučki vez i ostale vezove:</w:t>
      </w:r>
    </w:p>
    <w:tbl>
      <w:tblPr>
        <w:tblW w:w="9408" w:type="dxa"/>
        <w:jc w:val="left"/>
        <w:tblInd w:w="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0" w:type="dxa"/>
          <w:left w:w="30" w:type="dxa"/>
          <w:bottom w:w="50" w:type="dxa"/>
          <w:right w:w="50" w:type="dxa"/>
        </w:tblCellMar>
      </w:tblPr>
      <w:tblGrid>
        <w:gridCol w:w="2770"/>
        <w:gridCol w:w="1476"/>
        <w:gridCol w:w="1595"/>
        <w:gridCol w:w="1128"/>
        <w:gridCol w:w="2439"/>
      </w:tblGrid>
      <w:tr>
        <w:trPr/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Volumen spremnika (litre) 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 </w:t>
            </w:r>
            <w:r>
              <w:rPr>
                <w:b/>
                <w:bCs/>
                <w:i w:val="false"/>
                <w:color w:val="000000"/>
                <w:sz w:val="22"/>
              </w:rPr>
              <w:t>HRK / litra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HRK/ 120 l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PDV 13% 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  <w:i w:val="false"/>
                <w:color w:val="000000"/>
                <w:sz w:val="22"/>
              </w:rPr>
              <w:t xml:space="preserve">HRK / pražnjenje </w:t>
            </w:r>
          </w:p>
        </w:tc>
      </w:tr>
      <w:tr>
        <w:trPr/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120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156,00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20,28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 w:val="false"/>
                <w:i w:val="false"/>
                <w:color w:val="000000"/>
                <w:sz w:val="22"/>
                <w:szCs w:val="22"/>
              </w:rPr>
              <w:t>176,28</w:t>
            </w:r>
          </w:p>
        </w:tc>
      </w:tr>
      <w:tr>
        <w:trPr/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 l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1.430,00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185,90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1.615,90</w:t>
            </w:r>
          </w:p>
        </w:tc>
      </w:tr>
    </w:tbl>
    <w:p>
      <w:pPr>
        <w:pStyle w:val="Normal"/>
        <w:widowControl/>
        <w:spacing w:lineRule="auto" w:line="36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8.</w:t>
      </w:r>
    </w:p>
    <w:p>
      <w:pPr>
        <w:pStyle w:val="Normal"/>
        <w:rPr/>
      </w:pPr>
      <w:r>
        <w:rPr>
          <w:rFonts w:ascii="Times-Roman" w:hAnsi="Times-Roman"/>
          <w:b w:val="false"/>
          <w:i w:val="false"/>
          <w:color w:val="000000"/>
          <w:sz w:val="24"/>
        </w:rPr>
        <w:t>Do uspostave digitalne evidencije i novog rasporeda odvoza otpada primjenjuje se sljede</w:t>
      </w:r>
      <w:r>
        <w:rPr>
          <w:rFonts w:ascii="TimesNewRoman" w:hAnsi="TimesNewRoman"/>
          <w:b w:val="false"/>
          <w:i w:val="false"/>
          <w:color w:val="000000"/>
          <w:sz w:val="24"/>
        </w:rPr>
        <w:t>ć</w:t>
      </w:r>
      <w:r>
        <w:rPr>
          <w:rFonts w:ascii="Times-Roman" w:hAnsi="Times-Roman"/>
          <w:b w:val="false"/>
          <w:i w:val="false"/>
          <w:color w:val="000000"/>
          <w:sz w:val="24"/>
        </w:rPr>
        <w:t>e:</w:t>
      </w:r>
    </w:p>
    <w:p>
      <w:pPr>
        <w:pStyle w:val="Normal"/>
        <w:rPr/>
      </w:pPr>
      <w:r>
        <w:rPr>
          <w:rFonts w:ascii="Helvetica" w:hAnsi="Helvetica"/>
          <w:b w:val="false"/>
          <w:i w:val="false"/>
          <w:color w:val="000000"/>
          <w:sz w:val="24"/>
        </w:rPr>
        <w:t xml:space="preserve">- </w:t>
      </w:r>
      <w:r>
        <w:rPr>
          <w:rFonts w:ascii="Times-Roman" w:hAnsi="Times-Roman"/>
          <w:b w:val="false"/>
          <w:i w:val="false"/>
          <w:color w:val="000000"/>
          <w:sz w:val="24"/>
        </w:rPr>
        <w:t>u</w:t>
      </w:r>
      <w:r>
        <w:rPr>
          <w:rFonts w:ascii="TimesNewRoman" w:hAnsi="TimesNewRoman"/>
          <w:b w:val="false"/>
          <w:i w:val="false"/>
          <w:color w:val="000000"/>
          <w:sz w:val="24"/>
        </w:rPr>
        <w:t>č</w:t>
      </w:r>
      <w:r>
        <w:rPr>
          <w:rFonts w:ascii="Times-Roman" w:hAnsi="Times-Roman"/>
          <w:b w:val="false"/>
          <w:i w:val="false"/>
          <w:color w:val="000000"/>
          <w:sz w:val="24"/>
        </w:rPr>
        <w:t>estalost odvoza (pražnjenja) miješanog komunalnog otpada je minimalno jednom tjedno,</w:t>
      </w:r>
    </w:p>
    <w:p>
      <w:pPr>
        <w:pStyle w:val="Normal"/>
        <w:rPr/>
      </w:pPr>
      <w:r>
        <w:rPr>
          <w:rFonts w:ascii="Helvetica" w:hAnsi="Helvetica"/>
          <w:b w:val="false"/>
          <w:i w:val="false"/>
          <w:color w:val="000000"/>
          <w:sz w:val="24"/>
        </w:rPr>
        <w:t xml:space="preserve">- </w:t>
      </w:r>
      <w:r>
        <w:rPr>
          <w:rFonts w:ascii="Times-Roman" w:hAnsi="Times-Roman"/>
          <w:b w:val="false"/>
          <w:i w:val="false"/>
          <w:color w:val="000000"/>
          <w:sz w:val="24"/>
        </w:rPr>
        <w:t>povremenim korisnicima cijena javne usluge za koli</w:t>
      </w:r>
      <w:r>
        <w:rPr>
          <w:rFonts w:ascii="TimesNewRoman" w:hAnsi="TimesNewRoman"/>
          <w:b w:val="false"/>
          <w:i w:val="false"/>
          <w:color w:val="000000"/>
          <w:sz w:val="24"/>
        </w:rPr>
        <w:t>č</w:t>
      </w:r>
      <w:r>
        <w:rPr>
          <w:rFonts w:ascii="Times-Roman" w:hAnsi="Times-Roman"/>
          <w:b w:val="false"/>
          <w:i w:val="false"/>
          <w:color w:val="000000"/>
          <w:sz w:val="24"/>
        </w:rPr>
        <w:t>inu predanog miješanog komunalnog</w:t>
      </w:r>
    </w:p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color w:val="000000"/>
          <w:sz w:val="22"/>
        </w:rPr>
      </w:pPr>
      <w:r>
        <w:rPr>
          <w:rFonts w:ascii="Times-Roman" w:hAnsi="Times-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otpada obra</w:t>
      </w:r>
      <w:r>
        <w:rPr>
          <w:rFonts w:ascii="TimesNewRoman" w:hAnsi="TimesNew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</w:t>
      </w:r>
      <w:r>
        <w:rPr>
          <w:rFonts w:ascii="Times-Roman" w:hAnsi="Times-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unava se za razdoblje od 01. lipnja do 30. rujna, ukoliko se Izjavom ne utvrdi drugačije,</w:t>
      </w:r>
    </w:p>
    <w:p>
      <w:pPr>
        <w:pStyle w:val="Normal"/>
        <w:rPr/>
      </w:pPr>
      <w:r>
        <w:rPr>
          <w:rFonts w:ascii="Times-Roman" w:hAnsi="Times-Roman"/>
          <w:b w:val="false"/>
          <w:i/>
          <w:iCs/>
          <w:color w:val="000000"/>
          <w:sz w:val="24"/>
        </w:rPr>
        <w:t>Napomena:</w:t>
      </w:r>
      <w:r>
        <w:rPr>
          <w:rFonts w:ascii="Times-Roman" w:hAnsi="Times-Roman"/>
          <w:b w:val="false"/>
          <w:i w:val="false"/>
          <w:color w:val="000000"/>
          <w:sz w:val="24"/>
        </w:rPr>
        <w:t xml:space="preserve"> Za nekretninu koja se trajno ne koristi, odnosno za koju je utvr</w:t>
      </w:r>
      <w:r>
        <w:rPr>
          <w:rFonts w:ascii="TimesNewRoman" w:hAnsi="TimesNewRoman"/>
          <w:b w:val="false"/>
          <w:i w:val="false"/>
          <w:color w:val="000000"/>
          <w:sz w:val="24"/>
        </w:rPr>
        <w:t>đ</w:t>
      </w:r>
      <w:r>
        <w:rPr>
          <w:rFonts w:ascii="Times-Roman" w:hAnsi="Times-Roman"/>
          <w:b w:val="false"/>
          <w:i w:val="false"/>
          <w:color w:val="000000"/>
          <w:sz w:val="24"/>
        </w:rPr>
        <w:t>eno da se na temelju o</w:t>
      </w:r>
      <w:r>
        <w:rPr>
          <w:rFonts w:ascii="TimesNewRoman" w:hAnsi="TimesNewRoman"/>
          <w:b w:val="false"/>
          <w:i w:val="false"/>
          <w:color w:val="000000"/>
          <w:sz w:val="24"/>
        </w:rPr>
        <w:t>č</w:t>
      </w:r>
      <w:r>
        <w:rPr>
          <w:rFonts w:ascii="Times-Roman" w:hAnsi="Times-Roman"/>
          <w:b w:val="false"/>
          <w:i w:val="false"/>
          <w:color w:val="000000"/>
          <w:sz w:val="24"/>
        </w:rPr>
        <w:t>itovanja vlasnika nekretnine i o</w:t>
      </w:r>
      <w:r>
        <w:rPr>
          <w:rFonts w:ascii="TimesNewRoman" w:hAnsi="TimesNewRoman"/>
          <w:b w:val="false"/>
          <w:i w:val="false"/>
          <w:color w:val="000000"/>
          <w:sz w:val="24"/>
        </w:rPr>
        <w:t>č</w:t>
      </w:r>
      <w:r>
        <w:rPr>
          <w:rFonts w:ascii="Times-Roman" w:hAnsi="Times-Roman"/>
          <w:b w:val="false"/>
          <w:i w:val="false"/>
          <w:color w:val="000000"/>
          <w:sz w:val="24"/>
        </w:rPr>
        <w:t>itanja mjernih ure</w:t>
      </w:r>
      <w:r>
        <w:rPr>
          <w:rFonts w:ascii="TimesNewRoman" w:hAnsi="TimesNewRoman"/>
          <w:b w:val="false"/>
          <w:i w:val="false"/>
          <w:color w:val="000000"/>
          <w:sz w:val="24"/>
        </w:rPr>
        <w:t>đ</w:t>
      </w:r>
      <w:r>
        <w:rPr>
          <w:rFonts w:ascii="Times-Roman" w:hAnsi="Times-Roman"/>
          <w:b w:val="false"/>
          <w:i w:val="false"/>
          <w:color w:val="000000"/>
          <w:sz w:val="24"/>
        </w:rPr>
        <w:t>aja za potrošnju elektri</w:t>
      </w:r>
      <w:r>
        <w:rPr>
          <w:rFonts w:ascii="TimesNewRoman" w:hAnsi="TimesNewRoman"/>
          <w:b w:val="false"/>
          <w:i w:val="false"/>
          <w:color w:val="000000"/>
          <w:sz w:val="24"/>
        </w:rPr>
        <w:t>č</w:t>
      </w:r>
      <w:r>
        <w:rPr>
          <w:rFonts w:ascii="Times-Roman" w:hAnsi="Times-Roman"/>
          <w:b w:val="false"/>
          <w:i w:val="false"/>
          <w:color w:val="000000"/>
          <w:sz w:val="24"/>
        </w:rPr>
        <w:t>ne energije i vode utvrdi nekorištenje, ne obra</w:t>
      </w:r>
      <w:r>
        <w:rPr>
          <w:rFonts w:ascii="TimesNewRoman" w:hAnsi="TimesNewRoman"/>
          <w:b w:val="false"/>
          <w:i w:val="false"/>
          <w:color w:val="000000"/>
          <w:sz w:val="24"/>
        </w:rPr>
        <w:t>č</w:t>
      </w:r>
      <w:r>
        <w:rPr>
          <w:rFonts w:ascii="Times-Roman" w:hAnsi="Times-Roman"/>
          <w:b w:val="false"/>
          <w:i w:val="false"/>
          <w:color w:val="000000"/>
          <w:sz w:val="24"/>
        </w:rPr>
        <w:t>unava se cijena obvezne minimalne javne usluge i cijena javne usluge za koli</w:t>
      </w:r>
      <w:r>
        <w:rPr>
          <w:rFonts w:ascii="TimesNewRoman" w:hAnsi="TimesNewRoman"/>
          <w:b w:val="false"/>
          <w:i w:val="false"/>
          <w:color w:val="000000"/>
          <w:sz w:val="24"/>
        </w:rPr>
        <w:t>č</w:t>
      </w:r>
      <w:r>
        <w:rPr>
          <w:rFonts w:ascii="Times-Roman" w:hAnsi="Times-Roman"/>
          <w:b w:val="false"/>
          <w:i w:val="false"/>
          <w:color w:val="000000"/>
          <w:sz w:val="24"/>
        </w:rPr>
        <w:t>inu predanog miješanog komunalnog otpada. O</w:t>
      </w:r>
      <w:r>
        <w:rPr>
          <w:rFonts w:ascii="TimesNewRoman" w:hAnsi="TimesNewRoman"/>
          <w:b w:val="false"/>
          <w:i w:val="false"/>
          <w:color w:val="000000"/>
          <w:sz w:val="24"/>
        </w:rPr>
        <w:t>č</w:t>
      </w:r>
      <w:r>
        <w:rPr>
          <w:rFonts w:ascii="Times-Roman" w:hAnsi="Times-Roman"/>
          <w:b w:val="false"/>
          <w:i w:val="false"/>
          <w:color w:val="000000"/>
          <w:sz w:val="24"/>
        </w:rPr>
        <w:t xml:space="preserve">itovanje vlasnika nekretnine daje se za </w:t>
      </w:r>
      <w:r>
        <w:rPr>
          <w:rFonts w:ascii="Times-Roman" w:hAnsi="Times-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teku</w:t>
      </w:r>
      <w:r>
        <w:rPr>
          <w:rFonts w:ascii="TimesNewRoman" w:hAnsi="TimesNew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ć</w:t>
      </w:r>
      <w:r>
        <w:rPr>
          <w:rFonts w:ascii="Times-Roman" w:hAnsi="Times-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u kalendarsku godinu,</w:t>
      </w:r>
    </w:p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color w:val="000000"/>
          <w:sz w:val="22"/>
        </w:rPr>
      </w:pPr>
      <w:r>
        <w:rPr>
          <w:rFonts w:ascii="Times-Roman" w:hAnsi="Times-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- utvrđuje se 12 obračunskih razdoblja u godini.</w:t>
      </w:r>
    </w:p>
    <w:p>
      <w:pPr>
        <w:pStyle w:val="Normal"/>
        <w:rPr>
          <w:rFonts w:ascii="Times-Roman" w:hAnsi="Times-Roman"/>
          <w:bCs w:val="false"/>
          <w:caps w:val="false"/>
          <w:smallCaps w:val="false"/>
          <w:spacing w:val="0"/>
          <w:sz w:val="24"/>
          <w:szCs w:val="24"/>
          <w:lang w:val="en-US"/>
        </w:rPr>
      </w:pPr>
      <w:r>
        <w:rPr>
          <w:rFonts w:ascii="Times-Roman" w:hAnsi="Times-Roman"/>
          <w:bCs w:val="false"/>
          <w:caps w:val="false"/>
          <w:smallCaps w:val="false"/>
          <w:spacing w:val="0"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2"/>
        </w:rPr>
      </w:pPr>
      <w:r>
        <w:rPr>
          <w:rFonts w:ascii="Times-Roman" w:hAnsi="Times-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9.</w:t>
      </w:r>
    </w:p>
    <w:p>
      <w:pPr>
        <w:pStyle w:val="Normal"/>
        <w:rPr/>
      </w:pPr>
      <w:r>
        <w:rPr>
          <w:rFonts w:ascii="Times-Roman" w:hAnsi="Times-Roman"/>
          <w:b w:val="false"/>
          <w:i w:val="false"/>
          <w:color w:val="000000"/>
          <w:sz w:val="24"/>
        </w:rPr>
        <w:t>Za privremene/povremene korisnike koji obavljaju djelatnost sezonski, korisnici usluge dužni su isporu</w:t>
      </w:r>
      <w:r>
        <w:rPr>
          <w:rFonts w:ascii="TimesNewRoman" w:hAnsi="TimesNewRoman"/>
          <w:b w:val="false"/>
          <w:i w:val="false"/>
          <w:color w:val="000000"/>
          <w:sz w:val="24"/>
        </w:rPr>
        <w:t>č</w:t>
      </w:r>
      <w:r>
        <w:rPr>
          <w:rFonts w:ascii="Times-Roman" w:hAnsi="Times-Roman"/>
          <w:b w:val="false"/>
          <w:i w:val="false"/>
          <w:color w:val="000000"/>
          <w:sz w:val="24"/>
        </w:rPr>
        <w:t xml:space="preserve">itelju usluge dostaviti dokaz </w:t>
      </w:r>
      <w:r>
        <w:rPr>
          <w:rFonts w:ascii="Times-Roman" w:hAnsi="Times-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o sezonskom radu u objektu (uvjerenje ili potvrda nadležnog tijela).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  <w:lang w:val="en-US"/>
        </w:rPr>
      </w:pPr>
      <w:r>
        <w:rPr>
          <w:b w:val="false"/>
          <w:bCs w:val="false"/>
          <w:i w:val="false"/>
          <w:caps w:val="false"/>
          <w:smallCaps w:val="false"/>
          <w:spacing w:val="0"/>
          <w:lang w:val="en-US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  <w:lang w:val="en-US"/>
        </w:rPr>
      </w:pPr>
      <w:r>
        <w:rPr>
          <w:b w:val="false"/>
          <w:bCs w:val="false"/>
          <w:i w:val="false"/>
          <w:caps w:val="false"/>
          <w:smallCaps w:val="false"/>
          <w:spacing w:val="0"/>
          <w:lang w:val="en-US"/>
        </w:rPr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  <w:lang w:val="en-US"/>
        </w:rPr>
      </w:pPr>
      <w:r>
        <w:rPr>
          <w:b w:val="false"/>
          <w:bCs w:val="false"/>
          <w:i w:val="false"/>
          <w:caps w:val="false"/>
          <w:smallCaps w:val="false"/>
          <w:spacing w:val="0"/>
          <w:lang w:val="en-US"/>
        </w:rPr>
      </w:r>
    </w:p>
    <w:p>
      <w:pPr>
        <w:pStyle w:val="TextBody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Članak 10.</w:t>
      </w:r>
    </w:p>
    <w:p>
      <w:pPr>
        <w:pStyle w:val="TextBody"/>
        <w:widowControl/>
        <w:spacing w:lineRule="auto" w:line="360" w:before="57" w:after="57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Isporučitelj komunalne usluge dužan je najmanje 8 dana prije obustavljanja pružanja komunalne usluge iz razloga navedenih u stavku 2. članak 4. ove Odluke, korisniku (potrošaču) dostaviti obavijest o prestanku pružanja komunalne usluge.</w:t>
      </w:r>
    </w:p>
    <w:p>
      <w:pPr>
        <w:pStyle w:val="TextBody"/>
        <w:widowControl/>
        <w:spacing w:lineRule="auto" w:line="360" w:before="57" w:after="57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Ako korisnik otkloni nedostatke odnosno uzrok zbog kojeg se obustavlja pružanje komunalnih usluga najmanje 24 sata prije vremena određenog za obustavu pružanja komunalne usluge, isporučitelj neće obustaviti pružanje komunalne usluge.</w:t>
      </w:r>
    </w:p>
    <w:p>
      <w:pPr>
        <w:pStyle w:val="TextBody"/>
        <w:widowControl/>
        <w:spacing w:lineRule="auto" w:line="360" w:before="57" w:after="57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r>
    </w:p>
    <w:p>
      <w:pPr>
        <w:pStyle w:val="TextBody"/>
        <w:widowControl/>
        <w:spacing w:lineRule="auto" w:line="360" w:before="57" w:after="57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</w:pPr>
      <w:r>
        <w:rPr>
          <w:b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III. ZAVRŠNE ODREDBE</w:t>
      </w:r>
    </w:p>
    <w:p>
      <w:pPr>
        <w:pStyle w:val="TextBody"/>
        <w:spacing w:lineRule="auto" w:line="36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Članak 11.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Ova Odluka objavljuje se u službenom glasilu Dubrovačko-Neretvanske županije (Službene novine).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Članak 12.</w:t>
      </w:r>
    </w:p>
    <w:p>
      <w:pPr>
        <w:pStyle w:val="TextBody"/>
        <w:widowControl/>
        <w:spacing w:lineRule="auto" w:line="360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 xml:space="preserve">Ova Odluka stupa na snagu nakon pribavljanja prethodnih suglasnosti načelnika Općine Trpanj, a primjenjuje se od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01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 xml:space="preserve">.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lipnj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a 2018. godine.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ab/>
        <w:tab/>
      </w:r>
    </w:p>
    <w:p>
      <w:pPr>
        <w:pStyle w:val="TextBody"/>
        <w:widowControl/>
        <w:spacing w:lineRule="auto" w:line="360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 xml:space="preserve">U Trpnju, dana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23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 xml:space="preserve">.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s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vibnja 2018. godine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ab/>
        <w:t>Za Komunalno Trpanj d.o.o</w:t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ab/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r>
    </w:p>
    <w:p>
      <w:pPr>
        <w:pStyle w:val="TextBody"/>
        <w:widowControl/>
        <w:spacing w:lineRule="auto" w:line="36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ab/>
        <w:t>Renata Ivandić</w:t>
      </w:r>
    </w:p>
    <w:p>
      <w:pPr>
        <w:pStyle w:val="TextBody"/>
        <w:widowControl/>
        <w:spacing w:lineRule="auto" w:line="360" w:before="0" w:after="0"/>
        <w:ind w:left="0" w:right="0" w:hanging="0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ab/>
        <w:t>direktorica/član uprave</w:t>
        <w:tab/>
        <w:tab/>
        <w:tab/>
        <w:tab/>
        <w:tab/>
        <w:tab/>
        <w:t>M.P.</w:t>
      </w:r>
    </w:p>
    <w:sectPr>
      <w:type w:val="nextPage"/>
      <w:pgSz w:w="11906" w:h="16838"/>
      <w:pgMar w:left="1417" w:right="1417" w:header="0" w:top="1056" w:footer="0" w:bottom="11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TimesNewRoman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suff w:val="space"/>
      <w:lvlText w:val="Chapter 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hr-HR" w:eastAsia="hr-HR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36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r-HR" w:eastAsia="hr-HR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>
      <w:rFonts w:ascii="Calibri" w:hAnsi="Calibri" w:eastAsia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rFonts w:ascii="Calibri" w:hAnsi="Calibri" w:eastAsia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Cambria" w:hAnsi="Cambria" w:eastAsia="Times New Roman" w:cs="Times New Roman"/>
      <w:sz w:val="22"/>
      <w:szCs w:val="22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Heading2Char">
    <w:name w:val="Heading 2 Char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>
    <w:name w:val="Heading 4 Char"/>
    <w:basedOn w:val="DefaultParagraphFont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Heading5Char">
    <w:name w:val="Heading 5 Char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>
    <w:name w:val="Heading 6 Char"/>
    <w:basedOn w:val="DefaultParagraphFont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">
    <w:name w:val="Heading 7 Char"/>
    <w:basedOn w:val="DefaultParagraphFont"/>
    <w:qFormat/>
    <w:rPr>
      <w:rFonts w:ascii="Calibri" w:hAnsi="Calibri" w:eastAsia="Times New Roman" w:cs="Times New Roman"/>
      <w:sz w:val="24"/>
      <w:szCs w:val="24"/>
    </w:rPr>
  </w:style>
  <w:style w:type="character" w:styleId="Heading8Char">
    <w:name w:val="Heading 8 Char"/>
    <w:basedOn w:val="DefaultParagraphFont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>
    <w:name w:val="Heading 9 Char"/>
    <w:basedOn w:val="DefaultParagraphFont"/>
    <w:qFormat/>
    <w:rPr>
      <w:rFonts w:ascii="Cambria" w:hAnsi="Cambria" w:eastAsia="Times New Roman" w:cs="Times New Roman"/>
      <w:sz w:val="22"/>
      <w:szCs w:val="22"/>
    </w:rPr>
  </w:style>
  <w:style w:type="character" w:styleId="DocumentMapChar">
    <w:name w:val="Document Map Char"/>
    <w:basedOn w:val="DefaultParagraphFon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ocumentMap">
    <w:name w:val="Document Map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Application>LibreOffice/5.3.4.2$Windows_X86_64 LibreOffice_project/f82d347ccc0be322489bf7da61d7e4ad13fe2ff3</Application>
  <Pages>5</Pages>
  <Words>1015</Words>
  <Characters>5852</Characters>
  <CharactersWithSpaces>6760</CharactersWithSpaces>
  <Paragraphs>186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2017-06-29T11:47:00Z</dcterms:created>
  <dc:creator>Renchy</dc:creator>
  <dc:description/>
  <dc:language>hr-HR</dc:language>
  <cp:lastModifiedBy/>
  <dcterms:modified xsi:type="dcterms:W3CDTF">2018-05-25T10:59:47Z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